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jc w:val="center"/>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pStyle w:val="1131"/>
        <w:ind w:firstLine="0"/>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pStyle w:val="1131"/>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jc w:val="center"/>
        <w:rPr>
          <w:rFonts w:ascii="仿宋" w:hAnsi="仿宋" w:eastAsia="仿宋" w:cs="仿宋"/>
          <w:b/>
          <w:color w:val="auto"/>
          <w:spacing w:val="76"/>
          <w:sz w:val="156"/>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1242060</wp:posOffset>
                </wp:positionH>
                <wp:positionV relativeFrom="paragraph">
                  <wp:posOffset>1699895</wp:posOffset>
                </wp:positionV>
                <wp:extent cx="2934335" cy="3342640"/>
                <wp:effectExtent l="0" t="0" r="8890" b="635"/>
                <wp:wrapSquare wrapText="bothSides"/>
                <wp:docPr id="7" name="图片 5"/>
                <wp:cNvGraphicFramePr/>
                <a:graphic xmlns:a="http://schemas.openxmlformats.org/drawingml/2006/main">
                  <a:graphicData uri="http://schemas.openxmlformats.org/drawingml/2006/picture">
                    <pic:pic xmlns:pic="http://schemas.openxmlformats.org/drawingml/2006/picture">
                      <pic:nvPicPr>
                        <pic:cNvPr id="70" name="图片 5"/>
                        <pic:cNvPicPr/>
                        <pic:nvPr/>
                      </pic:nvPicPr>
                      <pic:blipFill>
                        <a:blip r:embed="rId18"/>
                        <a:stretch/>
                      </pic:blipFill>
                      <pic:spPr bwMode="auto">
                        <a:xfrm>
                          <a:off x="0" y="0"/>
                          <a:ext cx="2934335" cy="334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97.8pt;mso-position-horizontal:absolute;mso-position-vertical-relative:text;margin-top:133.8pt;mso-position-vertical:absolute;width:231.0pt;height:263.2pt;mso-wrap-distance-left:9.0pt;mso-wrap-distance-top:0.0pt;mso-wrap-distance-right:9.0pt;mso-wrap-distance-bottom:0.0pt;" stroked="f">
                <v:path textboxrect="0,0,0,0"/>
                <w10:wrap type="square"/>
                <v:imagedata r:id="rId18" o:title=""/>
              </v:shape>
            </w:pict>
          </mc:Fallback>
        </mc:AlternateContent>
      </w:r>
      <w:r>
        <w:rPr>
          <w:rFonts w:hint="eastAsia" w:ascii="仿宋" w:hAnsi="仿宋" w:eastAsia="仿宋" w:cs="仿宋"/>
          <w:b/>
          <w:color w:val="auto"/>
          <w:spacing w:val="76"/>
          <w:sz w:val="156"/>
          <w:highlight w:val="none"/>
        </w:rPr>
        <w:t xml:space="preserve">招标文件</w:t>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pStyle w:val="930"/>
        <w:rPr>
          <w:rFonts w:ascii="仿宋" w:hAnsi="仿宋" w:eastAsia="仿宋" w:cs="仿宋"/>
          <w:b/>
          <w:color w:val="auto"/>
          <w:highlight w:val="none"/>
          <w:lang w:eastAsia="zh-CN"/>
        </w:rPr>
      </w:pPr>
      <w:r>
        <w:rPr>
          <w:rFonts w:ascii="仿宋" w:hAnsi="仿宋" w:eastAsia="仿宋" w:cs="仿宋"/>
          <w:b/>
          <w:color w:val="auto"/>
          <w:highlight w:val="none"/>
          <w:lang w:eastAsia="zh-CN"/>
        </w:rPr>
      </w:r>
      <w:r/>
    </w:p>
    <w:p>
      <w:pPr>
        <w:pStyle w:val="931"/>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sz w:val="32"/>
          <w:highlight w:val="none"/>
        </w:rPr>
      </w:pPr>
      <w:r>
        <w:rPr>
          <w:rFonts w:ascii="仿宋" w:hAnsi="仿宋" w:eastAsia="仿宋" w:cs="仿宋"/>
          <w:color w:val="auto"/>
          <w:sz w:val="32"/>
          <w:highlight w:val="none"/>
        </w:rPr>
      </w:r>
      <w:r/>
    </w:p>
    <w:p>
      <w:pPr>
        <w:pStyle w:val="1131"/>
        <w:rPr>
          <w:rFonts w:ascii="仿宋" w:hAnsi="仿宋" w:eastAsia="仿宋" w:cs="仿宋"/>
          <w:color w:val="auto"/>
          <w:sz w:val="32"/>
          <w:highlight w:val="none"/>
        </w:rPr>
      </w:pPr>
      <w:r>
        <w:rPr>
          <w:rFonts w:ascii="仿宋" w:hAnsi="仿宋" w:eastAsia="仿宋" w:cs="仿宋"/>
          <w:color w:val="auto"/>
          <w:sz w:val="32"/>
          <w:highlight w:val="none"/>
        </w:rPr>
      </w:r>
      <w:r/>
    </w:p>
    <w:p>
      <w:pPr>
        <w:pStyle w:val="1131"/>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项目编号：</w:t>
      </w:r>
      <w:r>
        <w:rPr>
          <w:rFonts w:hint="eastAsia" w:ascii="仿宋" w:hAnsi="仿宋" w:eastAsia="仿宋" w:cs="仿宋"/>
          <w:color w:val="auto"/>
          <w:sz w:val="32"/>
          <w:highlight w:val="none"/>
          <w:lang w:eastAsia="zh-CN"/>
        </w:rPr>
        <w:t xml:space="preserve">JSZC-320311-TTDL-G2026-0003</w:t>
      </w:r>
      <w:r/>
    </w:p>
    <w:p>
      <w:pPr>
        <w:ind w:left="2558" w:hanging="1600"/>
        <w:spacing w:line="600" w:lineRule="exact"/>
        <w:rPr>
          <w:rFonts w:ascii="仿宋" w:hAnsi="仿宋" w:eastAsia="仿宋" w:cs="仿宋"/>
          <w:color w:val="auto"/>
          <w:highlight w:val="none"/>
        </w:rPr>
      </w:pPr>
      <w:r>
        <w:rPr>
          <w:rFonts w:hint="eastAsia" w:ascii="仿宋" w:hAnsi="仿宋" w:eastAsia="仿宋" w:cs="仿宋"/>
          <w:color w:val="auto"/>
          <w:sz w:val="32"/>
          <w:highlight w:val="none"/>
        </w:rPr>
        <w:t xml:space="preserve">项目名称：泉山区环卫市场化保洁项目</w:t>
      </w:r>
      <w:r/>
    </w:p>
    <w:p>
      <w:pPr>
        <w:ind w:left="2558" w:hanging="1600"/>
        <w:spacing w:line="600" w:lineRule="exact"/>
        <w:rPr>
          <w:rFonts w:ascii="仿宋" w:hAnsi="仿宋" w:eastAsia="仿宋" w:cs="仿宋"/>
          <w:color w:val="auto"/>
          <w:sz w:val="32"/>
          <w:highlight w:val="none"/>
        </w:rPr>
      </w:pPr>
      <w:r>
        <w:rPr>
          <w:rFonts w:hint="eastAsia" w:ascii="仿宋" w:hAnsi="仿宋" w:eastAsia="仿宋" w:cs="仿宋"/>
          <w:color w:val="auto"/>
          <w:sz w:val="32"/>
          <w:highlight w:val="none"/>
        </w:rPr>
        <w:t xml:space="preserve">采 购 人：徐州市泉山区城市管理局</w:t>
      </w:r>
      <w:r/>
    </w:p>
    <w:p>
      <w:pPr>
        <w:ind w:firstLine="960"/>
        <w:spacing w:line="600" w:lineRule="exact"/>
        <w:rPr>
          <w:rFonts w:ascii="仿宋" w:hAnsi="仿宋" w:eastAsia="仿宋" w:cs="仿宋"/>
          <w:color w:val="auto"/>
          <w:sz w:val="32"/>
          <w:highlight w:val="none"/>
        </w:rPr>
      </w:pPr>
      <w:r>
        <w:rPr>
          <w:rFonts w:hint="eastAsia" w:ascii="仿宋" w:hAnsi="仿宋" w:eastAsia="仿宋" w:cs="仿宋"/>
          <w:color w:val="auto"/>
          <w:sz w:val="32"/>
          <w:highlight w:val="none"/>
        </w:rPr>
        <w:t xml:space="preserve">采购代理机构：江苏天同工程咨询有限公司</w:t>
      </w:r>
      <w:r/>
    </w:p>
    <w:p>
      <w:pPr>
        <w:jc w:val="center"/>
        <w:spacing w:line="360" w:lineRule="auto"/>
        <w:rPr>
          <w:rFonts w:ascii="仿宋" w:hAnsi="仿宋" w:eastAsia="仿宋" w:cs="仿宋"/>
          <w:bCs/>
          <w:color w:val="auto"/>
          <w:sz w:val="30"/>
          <w:highlight w:val="none"/>
        </w:rPr>
      </w:pPr>
      <w:r>
        <w:rPr>
          <w:rFonts w:ascii="仿宋" w:hAnsi="仿宋" w:eastAsia="仿宋" w:cs="仿宋"/>
          <w:bCs/>
          <w:color w:val="auto"/>
          <w:sz w:val="30"/>
          <w:highlight w:val="none"/>
        </w:rPr>
      </w:r>
      <w:r/>
    </w:p>
    <w:p>
      <w:pPr>
        <w:jc w:val="center"/>
        <w:spacing w:line="360" w:lineRule="auto"/>
        <w:rPr>
          <w:rFonts w:ascii="仿宋" w:hAnsi="仿宋" w:eastAsia="仿宋" w:cs="仿宋"/>
          <w:color w:val="auto"/>
          <w:sz w:val="32"/>
          <w:szCs w:val="32"/>
          <w:highlight w:val="none"/>
        </w:rPr>
      </w:pPr>
      <w:r>
        <w:rPr>
          <w:rFonts w:hint="eastAsia" w:ascii="仿宋" w:hAnsi="仿宋" w:eastAsia="仿宋" w:cs="仿宋"/>
          <w:bCs/>
          <w:color w:val="auto"/>
          <w:sz w:val="30"/>
          <w:highlight w:val="none"/>
        </w:rPr>
        <w:t xml:space="preserve">二〇二六年五月</w:t>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目 录</w:t>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第一章  投标邀请</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第二章  投标人须知</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第三章  投标资料表</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第四章  评标标准</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第五章  拟签订的合同文本</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第六章  采购需求</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第七章  投标文件相关格式</w:t>
      </w:r>
      <w:r>
        <w:rPr>
          <w:rStyle w:val="1132"/>
          <w:rFonts w:hint="eastAsia" w:ascii="仿宋" w:hAnsi="仿宋" w:eastAsia="仿宋" w:cs="仿宋"/>
          <w:color w:val="auto"/>
          <w:sz w:val="30"/>
          <w:highlight w:val="none"/>
          <w:u w:val="none"/>
        </w:rPr>
        <w:fldChar w:fldCharType="end"/>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center"/>
        <w:spacing w:line="519" w:lineRule="atLeas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color w:val="auto"/>
          <w:sz w:val="44"/>
          <w:highlight w:val="none"/>
        </w:rPr>
      </w:r>
      <w:r/>
    </w:p>
    <w:p>
      <w:pPr>
        <w:jc w:val="center"/>
        <w:spacing w:line="519" w:lineRule="atLeast"/>
        <w:rPr>
          <w:rFonts w:ascii="仿宋" w:hAnsi="仿宋" w:eastAsia="仿宋" w:cs="仿宋"/>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rPr>
        <w:t xml:space="preserve">徐州市泉山区城市管理局</w:t>
      </w:r>
      <w:r/>
    </w:p>
    <w:p>
      <w:pPr>
        <w:jc w:val="center"/>
        <w:spacing w:line="519" w:lineRule="atLeast"/>
        <w:rPr>
          <w:rFonts w:ascii="仿宋" w:hAnsi="仿宋" w:eastAsia="仿宋" w:cs="仿宋"/>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0"/>
          <w:szCs w:val="40"/>
          <w:highlight w:val="none"/>
        </w:rPr>
        <w:t xml:space="preserve">《泉山区环卫市场化保洁项目》</w:t>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招标文件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第一章  投标邀请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u w:val="single"/>
        </w:rPr>
        <w:t xml:space="preserve">江苏天同工程咨询有限公司</w:t>
      </w:r>
      <w:r>
        <w:rPr>
          <w:rFonts w:hint="eastAsia" w:ascii="仿宋" w:hAnsi="仿宋" w:eastAsia="仿宋" w:cs="仿宋"/>
          <w:color w:val="auto"/>
          <w:sz w:val="30"/>
          <w:highlight w:val="none"/>
        </w:rPr>
        <w:t xml:space="preserve">对</w:t>
      </w:r>
      <w:r>
        <w:rPr>
          <w:rFonts w:hint="eastAsia" w:ascii="仿宋" w:hAnsi="仿宋" w:eastAsia="仿宋" w:cs="仿宋"/>
          <w:color w:val="auto"/>
          <w:sz w:val="30"/>
          <w:highlight w:val="none"/>
          <w:u w:val="single"/>
        </w:rPr>
        <w:t xml:space="preserve">泉山区环卫市场化保洁项目</w:t>
      </w:r>
      <w:r>
        <w:rPr>
          <w:rFonts w:hint="eastAsia" w:ascii="仿宋" w:hAnsi="仿宋" w:eastAsia="仿宋" w:cs="仿宋"/>
          <w:color w:val="auto"/>
          <w:sz w:val="30"/>
          <w:highlight w:val="none"/>
        </w:rPr>
        <w:t xml:space="preserve">进行公开招标采购，现邀请符合相关条件的供应商投标。</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一、项目名称和项目编号</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(一)项目名称：泉山区环卫市场化保洁项目</w:t>
      </w:r>
      <w:r/>
    </w:p>
    <w:p>
      <w:pPr>
        <w:ind w:firstLine="300"/>
        <w:spacing w:line="51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(二)项目编号：</w:t>
      </w:r>
      <w:r>
        <w:rPr>
          <w:rFonts w:hint="eastAsia" w:ascii="仿宋" w:hAnsi="仿宋" w:eastAsia="仿宋" w:cs="仿宋"/>
          <w:color w:val="auto"/>
          <w:sz w:val="30"/>
          <w:highlight w:val="none"/>
          <w:lang w:eastAsia="zh-CN"/>
        </w:rPr>
        <w:t xml:space="preserve">JSZC-320311-TTDL-G2026-0003</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二、对投标人的资格要求</w:t>
      </w:r>
      <w:r/>
    </w:p>
    <w:p>
      <w:pPr>
        <w:ind w:firstLine="301"/>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详见本项目公开招标公告。</w:t>
      </w:r>
      <w:r/>
    </w:p>
    <w:p>
      <w:pPr>
        <w:ind w:firstLine="301"/>
        <w:spacing w:line="519" w:lineRule="atLeas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三、获取招标文件</w:t>
      </w:r>
      <w:r/>
    </w:p>
    <w:p>
      <w:pPr>
        <w:ind w:firstLine="301"/>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1．时间（时间期限）、地点、方式：招标文件提供期限：自招标公告发布之日起5个工作日。</w:t>
      </w:r>
      <w:r>
        <w:rPr>
          <w:rFonts w:hint="eastAsia" w:ascii="仿宋" w:hAnsi="仿宋" w:eastAsia="仿宋" w:cs="仿宋"/>
          <w:color w:val="auto"/>
          <w:sz w:val="30"/>
          <w:highlight w:val="none"/>
        </w:rPr>
        <w:t xml:space="preserve">在“苏采云”系统自行下载。</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特别说明：“招标文件提供期限”届满后仍可以下载招标文件，“招标文件提供期限”后下载的招标文件，视为非有效方式且不做为投标人权益受到损害的证明材料和依据。</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2.招标文件售价：免费。</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四、投标有关信息</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（一）投标截止时间：</w:t>
      </w:r>
      <w:r>
        <w:rPr>
          <w:rFonts w:hint="eastAsia" w:ascii="仿宋" w:hAnsi="仿宋" w:eastAsia="仿宋" w:cs="仿宋"/>
          <w:b/>
          <w:bCs/>
          <w:color w:val="auto"/>
          <w:sz w:val="30"/>
          <w:highlight w:val="none"/>
        </w:rPr>
        <w:t xml:space="preserve">2026年6月3日</w:t>
      </w:r>
      <w:r>
        <w:rPr>
          <w:rFonts w:hint="eastAsia" w:ascii="仿宋" w:hAnsi="仿宋" w:eastAsia="仿宋" w:cs="仿宋"/>
          <w:b/>
          <w:color w:val="auto"/>
          <w:sz w:val="30"/>
          <w:highlight w:val="none"/>
        </w:rPr>
        <w:t xml:space="preserve">北京时间09：30</w:t>
      </w:r>
      <w:r>
        <w:rPr>
          <w:rFonts w:hint="eastAsia" w:ascii="仿宋" w:hAnsi="仿宋" w:eastAsia="仿宋" w:cs="仿宋"/>
          <w:color w:val="auto"/>
          <w:sz w:val="30"/>
          <w:highlight w:val="none"/>
        </w:rPr>
        <w:t xml:space="preserve">。</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（二）开标时间：</w:t>
      </w:r>
      <w:r>
        <w:rPr>
          <w:rFonts w:hint="eastAsia" w:ascii="仿宋" w:hAnsi="仿宋" w:eastAsia="仿宋" w:cs="仿宋"/>
          <w:b/>
          <w:bCs/>
          <w:color w:val="auto"/>
          <w:sz w:val="30"/>
          <w:highlight w:val="none"/>
        </w:rPr>
        <w:t xml:space="preserve">2026年6月3日</w:t>
      </w:r>
      <w:r>
        <w:rPr>
          <w:rFonts w:hint="eastAsia" w:ascii="仿宋" w:hAnsi="仿宋" w:eastAsia="仿宋" w:cs="仿宋"/>
          <w:b/>
          <w:color w:val="auto"/>
          <w:sz w:val="30"/>
          <w:highlight w:val="none"/>
        </w:rPr>
        <w:t xml:space="preserve">北京时间09：30</w:t>
      </w:r>
      <w:r>
        <w:rPr>
          <w:rFonts w:hint="eastAsia" w:ascii="仿宋" w:hAnsi="仿宋" w:eastAsia="仿宋" w:cs="仿宋"/>
          <w:color w:val="auto"/>
          <w:sz w:val="30"/>
          <w:highlight w:val="none"/>
        </w:rPr>
        <w:t xml:space="preserve">。</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（三）开标地点：“苏采云”系统“开标大厅”或进入徐州政府采购网--业务工作--用户登录，点击“苏采云”进入系统“开标大厅”。</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五、采购人</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（一）名称：徐州市泉山区城市管理局</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（二）地址：徐州泉山区欣欣路七里沟变电站北侧</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（三）联系方式：0516-83653817</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（四）采购项目联系人：饶壮</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六、采购代理机构</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（一）名称：江苏天同工程咨询有限公司</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（二）地址：徐州市泉山区荣盛未来广场商业街S1-135</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（三）联系方式：0516-83799962</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（四）采购项目联系人：陈胜男</w:t>
      </w:r>
      <w:r/>
    </w:p>
    <w:p>
      <w:pPr>
        <w:ind w:firstLine="12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600"/>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720"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ascii="仿宋" w:hAnsi="仿宋" w:eastAsia="仿宋" w:cs="仿宋"/>
          <w:b/>
          <w:color w:val="auto"/>
          <w:sz w:val="30"/>
          <w:highlight w:val="none"/>
        </w:rPr>
      </w:r>
      <w:r/>
    </w:p>
    <w:p>
      <w:pPr>
        <w:jc w:val="center"/>
        <w:spacing w:line="72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第二章 投标人须知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一、总则</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（一）采购人。采购人即指依法进行政府采购的国家机关、事业单位和团体组织。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（六）投标人的资格条件：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投标人是指响应招标、参加投标竞争的法人、其他组织或者自然人。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2.投标人授权代表系指法定代表人或受法人委托的受托人。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二、招标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（八）招标文件应包括以下内容：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第一章，投标邀请；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第二章，投标人须知；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第三章，投标资料表；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第四章，评标标准；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第五章，拟签订的合同文本；</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第六章，采购需求；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第七章，投标文件相关格式。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（九）招标文件澄清或者修改：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2.现场考察以本文件第三章《投标资料表》中的要求为准。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3.开标前答疑会以本文件第三章《投标资料表》中的要求为准。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三、投标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（十二）投标文件的构成：</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1.投标文件的构成以本文件第三章《投标资料表》中的要求为准。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（十三）投标函和价格表、商务条件、交货和提供服务的时间：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2.商务条件以本文件第三章《投标资料表》中的要求为准。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3.交货和提供服务的时间，以本文件第三章《投标资料表》中所提要求为准。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（十四）投标报价要求：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1.投标人应按照招标文件的要求报出分项价格和总价。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3.采购人不支付报价以外的任何费用。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（十五）投标货币。以本文件第三章《投标资料表》中所提要求为准。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（十六）投标有效期：</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（十七）投标文件的编制要求和签署要求：</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1.</w:t>
      </w:r>
      <w:r>
        <w:rPr>
          <w:rFonts w:hint="eastAsia" w:ascii="仿宋" w:hAnsi="仿宋" w:eastAsia="仿宋" w:cs="仿宋"/>
          <w:color w:val="auto"/>
          <w:sz w:val="30"/>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2.</w:t>
      </w:r>
      <w:r>
        <w:rPr>
          <w:rFonts w:hint="eastAsia" w:ascii="仿宋" w:hAnsi="仿宋" w:eastAsia="仿宋" w:cs="仿宋"/>
          <w:color w:val="auto"/>
          <w:sz w:val="30"/>
          <w:highlight w:val="none"/>
        </w:rPr>
        <w:t xml:space="preserve">投标人应对 CA 证书妥善保管，如被他人盗用投标，因此带来的结果均由投标人自行承担。</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3.</w:t>
      </w:r>
      <w:r>
        <w:rPr>
          <w:rFonts w:hint="eastAsia" w:ascii="仿宋" w:hAnsi="仿宋" w:eastAsia="仿宋" w:cs="仿宋"/>
          <w:color w:val="auto"/>
          <w:sz w:val="30"/>
          <w:highlight w:val="none"/>
        </w:rPr>
        <w:t xml:space="preserve">投标人应当对招标文件提出的要求和条件作出实质性响应，并在电子投标系统逐条应答。</w:t>
      </w:r>
      <w:r/>
    </w:p>
    <w:p>
      <w:pPr>
        <w:ind w:firstLine="482"/>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4.</w:t>
      </w:r>
      <w:r>
        <w:rPr>
          <w:rFonts w:hint="eastAsia" w:ascii="仿宋" w:hAnsi="仿宋" w:eastAsia="仿宋" w:cs="仿宋"/>
          <w:color w:val="auto"/>
          <w:sz w:val="30"/>
          <w:highlight w:val="none"/>
        </w:rPr>
        <w:t xml:space="preserve">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（十八）投标文件的盖章要求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1.投标文件的盖章要求以招标文件第三章《投标资料表》中的要求为准。</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（二十二）本项目不允许分包。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（二十四）有下列情形之一的，其投标无效。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5.不同投标人的投标文件相互混装；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7.电子投标文件未按规定期限投标的；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8.电子投标文件未按招标文件要求签章的；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9.投标人未在规定时间内解密电子投标文件的；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11.纸质投标文件未按招标文件要求签署、盖章的；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12.不具备招标文件中规定的资格要求的；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13.报价超过招标文件中规定的预算金额或者最高限价的；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14.投标文件含有采购人不能接受的附加条件的；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15.法律、法规和招标文件规定的其他无效情形。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四、开标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（二十五）开标：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2.投标人不足3家的，不得开标。</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3.开标过程由采购代理机构负责记录。</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5.投标人未参加开标的，视同认可开标结果。</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1.评标工作由采购代理机构负责组织，并履行下列职责：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（2）宣布评标纪律；</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（3）公布投标人名单，告知评审专家应当回避的情形；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（4）组织评标委员会推选评标组长（采购人代表不得担任组长）；</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（5）在评标期间采取必要的通讯管理措施，保证评标活动不受外界干扰；</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（6）根据评标委员会的要求介绍政府采购相关政策法规、招标文件；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1132"/>
          <w:rFonts w:hint="eastAsia" w:ascii="仿宋" w:hAnsi="仿宋" w:eastAsia="仿宋" w:cs="仿宋"/>
          <w:color w:val="auto"/>
          <w:sz w:val="30"/>
          <w:highlight w:val="none"/>
          <w:u w:val="none"/>
        </w:rPr>
        <w:t xml:space="preserve">政府采购</w:t>
      </w:r>
      <w:r>
        <w:rPr>
          <w:rStyle w:val="113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（10）处理与评标有关的其他事项。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2.评标委员会负责具体评标事务，并独立履行下列职责：</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（1）审查、评价投标文件是否符合招标文件的商务、技术等实质性要求；</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（2）要求投标人对投标文件有关事项作出澄清或者说明；</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（3）对投标文件进行比较和评价；</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（4）确定中标候选人名单，以及根据采购人委托直接确定中标人；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（5）向采购人、采购代理机构或有关部门报告评标中发现的违法行为。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（二十七）评标方法分为最低评标价法和综合评分法。</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（二十八）评标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1.评标工作程序：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（1）投标文件初审。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①资格性审查。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②符合性审查。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（2）澄清有关问题。</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（3）比较与评价。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（4）推荐中标候选供应商名单。</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（5）编写评审报告（评标报告）。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1132"/>
          <w:rFonts w:hint="eastAsia" w:ascii="仿宋" w:hAnsi="仿宋" w:eastAsia="仿宋" w:cs="仿宋"/>
          <w:color w:val="auto"/>
          <w:sz w:val="30"/>
          <w:highlight w:val="none"/>
          <w:u w:val="none"/>
        </w:rPr>
        <w:t xml:space="preserve">最低评标价法</w:t>
      </w:r>
      <w:r>
        <w:rPr>
          <w:rStyle w:val="113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综合评分法</w:t>
      </w:r>
      <w:r>
        <w:rPr>
          <w:rStyle w:val="113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（二十九）投标文件报价出现前后不一致的，按照下列规定修正：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2.大写金额和小写金额不一致的，以大写金额为准；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4.总价金额与按单价合计金额不一致的，以单价金额计算结果为准。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（三十二）废标条款：</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出现下列情形之一的，应予废标。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1.符合专业条件的供应商或者对招标文件作实质响应的供应商不足三家的；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2.出现影响采购公正的违法、违规行为的；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3.投标人的报价均超过了采购预算，采购人不能支付的；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4.因重大变故，采购任务取消的。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六、定标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（三十三）采购代理机构应当在评标结束后2个工作日内将评标报告送采购人。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七、政府采购合同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（三十六）签订政府采购合同（合同签订方式）：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采购人不得向中标人提出任何不合理的要求作为签订合同的条件。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（三十八）履约保证金：详见《第三章 投标资料表》。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（三十九）腐败和欺诈行为：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（1）腐败和欺诈行为的含义：</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八、询问和质疑</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（四十）询问和质疑</w:t>
      </w:r>
      <w:r/>
    </w:p>
    <w:p>
      <w:pPr>
        <w:ind w:firstLine="600"/>
        <w:spacing w:line="519"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30"/>
          <w:highlight w:val="none"/>
        </w:rPr>
        <w:t xml:space="preserve"> </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九、电子招标投标交易平台</w:t>
      </w:r>
      <w:r/>
    </w:p>
    <w:p>
      <w:pPr>
        <w:ind w:firstLine="600"/>
        <w:jc w:val="left"/>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center"/>
        <w:spacing w:line="72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highlight w:val="none"/>
        </w:rPr>
        <w:br w:type="page" w:clear="all"/>
      </w:r>
      <w:r>
        <w:rPr>
          <w:rFonts w:hint="eastAsia" w:ascii="仿宋" w:hAnsi="仿宋" w:eastAsia="仿宋" w:cs="仿宋"/>
          <w:b/>
          <w:color w:val="auto"/>
          <w:sz w:val="30"/>
          <w:highlight w:val="none"/>
        </w:rPr>
        <w:t xml:space="preserve">第三章 投标资料表</w:t>
      </w:r>
      <w:r/>
    </w:p>
    <w:p>
      <w:pPr>
        <w:ind w:firstLine="60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113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本项目采购人：徐州市泉山区城市管理局</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采购人确定的采购项目属性：服务</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本项目采购代理机构：江苏天同工程咨询有限公司</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投标人的资格条件：</w:t>
            </w:r>
            <w:r/>
          </w:p>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一、符合《中华人民共和国政府采购法》第二十二条的规定；</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bookmarkStart w:id="0" w:name="OLE_LINK17"/>
            <w:r>
              <w:rPr>
                <w:rFonts w:hint="eastAsia" w:ascii="仿宋" w:hAnsi="仿宋" w:eastAsia="仿宋" w:cs="仿宋"/>
                <w:color w:val="auto"/>
                <w:sz w:val="28"/>
                <w:szCs w:val="28"/>
                <w:highlight w:val="none"/>
              </w:rPr>
              <w:t xml:space="preserve">本项目不属于专门面向中小微企业采购的项目</w:t>
            </w:r>
            <w:bookmarkEnd w:id="0"/>
            <w:r>
              <w:rPr>
                <w:rFonts w:hint="eastAsia" w:ascii="仿宋" w:hAnsi="仿宋" w:eastAsia="仿宋" w:cs="仿宋"/>
                <w:color w:val="auto"/>
                <w:sz w:val="28"/>
                <w:szCs w:val="28"/>
                <w:highlight w:val="none"/>
              </w:rPr>
              <w:t xml:space="preserve">；</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同时明确相关事项如下：</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1、本项目接受联合体投标，联合体要求如下：</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（1）投标人为联合体的，每个联合体投标人最多由2家单位组成，各成员均应为中华人民共和国境内（不含港、澳、台）注册的具有独立法人资格的企业；</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（2）联合体成员应当具备各自所承担工作内容的相应能力和资质条件;由同一专业的单位组成的联合体参与采购活动时，按照资质等级较低的单位确定资质等级；</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（3）联合体各方应在投标前签订联合体协议书，明确联合体各方权利和义务，包括不但限于承包范围、职责分工。由联合体牵头人负责本项目投标报名、递交投标文件等相关事宜;</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联合体各方签订共同投标协议后，不得再以自己名义单独投标，也不得组成新的联合体或参加其他联合体在同一项目中投标。同一潜在社会资本不能同时参加两个及以上联合体，也不能既独立参与投标又组成联合体参与采购活动；</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 联合体中标后,由联合体牵头人负责办理相关行政许可手续。联合体各方应当共同与招标人签订合同，为履行合同向招标人承担连带责任；</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（6）联合体组成后不得再发生变化；中标后，未经采购人书面同意，联合体的成员结构、相互关系等均不得变动。</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2、单位负责人为同一人或者存在直接控股、管理关系的不同供应商，不得参加同一合同项下的政府采购活动。</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3、为本采购项目提供整体设计、规范编制或者项目管理、监理、检测等服务的供应商，不得再参加本采购项目的采购活动。</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三、查询及使用供应商信用记录：</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(一)由采购人查询信用信息。</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(二)查询渠道包括：</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1、“信用中国”网（www.creditchina.gov.cn）；</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2、中国政府采购网（www.ccgp.gov.cn）；</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3、“信用江苏”网（http://credit.jiangsu.gov.cn/）；</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4、“信用中国(江苏徐州)”网（http://www.xuzhoucredit.gov.cn）；</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(三)截止时点（查询环节）：开标后资格审查结束前。</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(四)信用信息查询记录和证据留存的具体方式：网页截屏打印，与其他采购文件一并保存。</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(五)信用信息的使用规则：</w:t>
            </w:r>
            <w:r/>
          </w:p>
          <w:p>
            <w:pPr>
              <w:ind w:firstLine="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招标代理服务费由中标人支付，供应商的报价应当包含招标代理费，标准见《招标代理服务收费标准》（见附件），依据签订的招标代理合同。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(九)1</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(十二)1</w:t>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线上投标文件编制要求：</w:t>
            </w:r>
            <w:r/>
          </w:p>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请按照以下要求（包括但不限于以下要求）制作：</w:t>
            </w:r>
            <w:r/>
          </w:p>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一、基本目录</w:t>
            </w:r>
            <w:r/>
          </w:p>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1、《开标一览表》（加盖电子签章，政府采购客户端工具输入报价自动生成）。</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二、资格条件（必须提供，否则投标将被拒绝）</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(一)投标人（如投标人是联合体，则为各方均需提供）合法有效的营业执照扫描件，或事业单位法人证书扫描件，或民办非企业单位登记证书扫描件。</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财务状况报告（即提供投标人（如投标人是联合体，则为各方均需提供）的本项目开标时间前6个月内任何时间的资产负债表、利润表扫描件各一份；或合法有效的经第三方机构审计的上一年度财务审计报告扫描件一份；或投标人的本项目开标时间前6个月内银行出具的资信证明扫描件一份）；</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投标人（如投标人是联合体，则为各方均需提供）的本项目开标时间前6个月内任何1个月（不含开标当月）的依法缴纳税收扫描件和社会保障资金扫描件的相关材料（依法免税或不需要缴纳社会保障资金的供应商,提供相应文件扫描件证明其依法免税或不需要缴纳社会保障资金)；</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(四)具备履行合同所必需的设备和专业技术能力的证明材料。格式见招标文件第七章《投标文件相关格式》）。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(五)投标人（如投标人是联合体，则为各方均需提供）参加政府采购活动前3年内在经营活动中没有重大违法记录的书面声明，加盖电子签章，格式见本文件第七章《投标文件相关格式》。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投标人（如投标人是联合体，则为各方均需提供）关于单位负责人为同一人或者存在直接控股、管理关系的不同供应商，不得参加同一合同项下的政府采购活动的承诺。（加盖电子签章，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七）投标人（如投标人是联合体，则为各方均需提供）不是为本采购项目提供整体设计、规范编制或者项目管理、监理、检测等服务的供应商的书面声明。（加盖电子签章，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八)投标人（如投标人是联合体，则为各方均需提供）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三、符合条件（必须提供，否则投标无效）</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1、《开标一览表》。要求加盖电子签章，格式见本文件第七章《投标文件相关格式》。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2、《分项价格表》。要求加盖电子签章，格式见本文件第七章《投标文件相关格式》（必须提供，否则在符合性审查时按照投标无效处理）。</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（二）商务资信</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1、《投标函》（加盖电子签章，格式见招标文件第七章《投标文件相关格式》。）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2、《授权委托书及法定代表人身份证明书》。加盖电子签章，格式见本文件第七章《投标文件相关格式》。（如法定代表人本人参与投标，则只需要提供《法定代表人身份证明书》）</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（三）技术响应</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1、《偏离表》（加盖电子签章，格式见招标文件第七章《投标文件相关格式》。）</w:t>
            </w:r>
            <w:r/>
          </w:p>
          <w:p>
            <w:pPr>
              <w:pStyle w:val="973"/>
              <w:ind w:left="0" w:firstLine="0"/>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2、《投标人对“作业人员配备要求”的承诺》、《投标人对“设备、车辆配备要求”的承诺》、《投标人对“中标后在徐州设立固定的办公场所（非住宅小区类）”的承诺》、《投标人对“中标后提供满足项目车辆停放需求、符合相关规范要求的停车场”的承诺》、《按时足额发放工人工资的承诺书》、《安全承诺责任书》。要求加盖电子签章。格式见本文件第七章《投标文件相关格式》（必须提供，否则在符合性审查时按照投标无效处理）。</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四、综合评审评分项</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要求详见招标文件第六章《采购需求》和招标文件第四章《评标标准》）；</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五、价格折扣文件格式</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企业报价折扣证明：</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投标人（如投标人是联合体，则为各方）提供的服务全部由符合政策要求的中小企业承接的，提供《中小企业声明函》（加盖电子签章，填写完整。格式见招标文件第七章《投标文件相关格式》）。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《中小企业声明函》查询渠道参考工业和信息化部发布的中小企业规模自测小程序。中小企业规模自测小程序详见《中小企业声明函》。</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备注：</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监狱企业和残疾人福利性单位等同于小微企业。</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投标人为监狱企业的，提供省级以上监狱管理局、戒毒管理局（含新疆生产建设兵团）出具的属于监狱企业的证明文件原件的扫描件。</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具体以《财政部 司法部关于政府采购支持监狱企业发展有关问题的通知》（财库〔2014〕68号）的规定为准。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投标人为享受政府采购支持政策的残疾人福利性单位的，提供《残疾人福利性单位声明函》（加盖电子签章，格式见招标文件第七章《投标文件相关格式》）。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享受政府采购支持政策的残疾人福利性单位应当同时满足以下条件：</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①安置的残疾人占本单位在职职工人数的比例不低于25%（含25%），并且安置的残疾人人数不少于10人（含10人）；</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②依法与安置的每位残疾人签订了一年以上（含一年）的劳动合同或服务协议；</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③为安置的每位残疾人按月足额缴纳了基本养老保险、基本医疗保险、失业保险、工伤保险和生育保险等社会保险费；</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④通过银行等金融机构向安置的每位残疾人，按月支付了不低于单位所在区县适用的经省级人民政府批准的月最低工资标准的工资；</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具体以《三部门联合发布关于促进残疾人就业政府采购政策的通知》（财库〔2017〕141号）规定为准。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1、投标人应对以上文件的合法性、真实性负责。</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商务条件见：</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一、本文件第四章《评标标准》中《评分细则》。</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二、本文件第三章《投标资料表》中(十二)1和(十二)2。</w:t>
            </w:r>
            <w:r/>
          </w:p>
        </w:tc>
      </w:tr>
      <w:tr>
        <w:trPr>
          <w:jc w:val="center"/>
          <w:trHeight w:val="80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(十三)3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交货和提供服务的时间：见本文件第五章《拟签订的合同文本》及或本文件第六章《采购需求》。</w:t>
            </w:r>
            <w:r/>
          </w:p>
        </w:tc>
      </w:tr>
      <w:tr>
        <w:trPr>
          <w:jc w:val="center"/>
          <w:trHeight w:val="77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(十四)3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本项目不接受超过26146.02万元人民币（采购项目预算总金额）的投标报价；本项目共分为5个采购包，各采购包最高投标限价如下：</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采购包1：泉山区翟山、金山、奎山、泰山、七里沟办事处：不接受超过9235.7</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万元人民币的投标报价；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采购包2：泉山区和平、王陵、永安办事处：不接受超过8210.39万元人民币的投标报价；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采购包3：泉山区段庄、湖滨、火花办事处：不接受超过4389.57万元人民币的投标报价；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采购包4：泉山区城北开发区、桃园办事处：不接受超过1873.28万元人民币的投标报价；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采购包5：泉山区苏山、庞庄办事处：不接受超过2437.04万元人民币的投标报价；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服务期限：3年。投标报价应包含完成本项目所需的全部费用，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采购人不再支付报价以外的任何费用。</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投标人可对五个采购包同时投标，开标顺序为采购包1、采购包2、采购包3、采购包4、采购包5，前一采购包中标的投标人，可参与后一采购包的评审，但不能重复中标。</w:t>
            </w:r>
            <w:r/>
          </w:p>
        </w:tc>
      </w:tr>
      <w:tr>
        <w:trPr>
          <w:jc w:val="center"/>
          <w:trHeight w:val="48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以人民币报价。</w:t>
            </w:r>
            <w:r/>
          </w:p>
        </w:tc>
      </w:tr>
      <w:tr>
        <w:trPr>
          <w:jc w:val="center"/>
          <w:trHeight w:val="463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投标人须用政府采购客户端工具导入“苏采云”系统下载的采购文件（后缀）、供应商操作手册及政府采购客户端工具可通过“苏采云”系统（网址：</w:t>
            </w:r>
            <w:r>
              <w:rPr>
                <w:color w:val="auto"/>
                <w:highlight w:val="none"/>
              </w:rPr>
              <w:fldChar w:fldCharType="begin"/>
            </w:r>
            <w:r>
              <w:rPr>
                <w:color w:val="auto"/>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highlight w:val="none"/>
              </w:rPr>
              <w:fldChar w:fldCharType="separate"/>
            </w:r>
            <w:r>
              <w:rPr>
                <w:rStyle w:val="1132"/>
                <w:rFonts w:hint="eastAsia" w:ascii="仿宋" w:hAnsi="仿宋" w:eastAsia="仿宋" w:cs="仿宋"/>
                <w:color w:val="auto"/>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132"/>
                <w:rFonts w:hint="eastAsia" w:ascii="仿宋" w:hAnsi="仿宋" w:eastAsia="仿宋" w:cs="仿宋"/>
                <w:color w:val="auto"/>
                <w:sz w:val="28"/>
                <w:szCs w:val="28"/>
                <w:highlight w:val="none"/>
                <w:u w:val="none"/>
              </w:rPr>
              <w:fldChar w:fldCharType="end"/>
            </w:r>
            <w:r/>
          </w:p>
          <w:p>
            <w:pPr>
              <w:ind w:firstLine="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投标人应当通过“苏采云”系统提交数据电文形式的投标文件（即电子投标）。</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特别说明：政府采购客户端工具需要导出加密的投标文件（后缀名为</w:t>
            </w:r>
            <w:r>
              <w:rPr>
                <w:rFonts w:hint="eastAsia" w:ascii="仿宋" w:hAnsi="仿宋" w:eastAsia="仿宋" w:cs="仿宋"/>
                <w:b/>
                <w:bCs/>
                <w:color w:val="auto"/>
                <w:sz w:val="28"/>
                <w:szCs w:val="28"/>
                <w:highlight w:val="none"/>
              </w:rPr>
              <w:t xml:space="preserve">zip</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rPr>
              <w:t xml:space="preserve">投标文件不得超过150M！</w:t>
            </w:r>
            <w:r>
              <w:rPr>
                <w:rFonts w:hint="eastAsia" w:ascii="仿宋" w:hAnsi="仿宋" w:eastAsia="仿宋" w:cs="仿宋"/>
                <w:color w:val="auto"/>
                <w:sz w:val="28"/>
                <w:szCs w:val="28"/>
                <w:highlight w:val="none"/>
              </w:rPr>
              <w:t xml:space="preserve">名为</w:t>
            </w:r>
            <w:r>
              <w:rPr>
                <w:rFonts w:hint="eastAsia" w:ascii="仿宋" w:hAnsi="仿宋" w:eastAsia="仿宋" w:cs="仿宋"/>
                <w:b/>
                <w:bCs/>
                <w:color w:val="auto"/>
                <w:sz w:val="28"/>
                <w:szCs w:val="28"/>
                <w:highlight w:val="none"/>
              </w:rPr>
              <w:t xml:space="preserve">“.kedt”</w:t>
            </w:r>
            <w:r>
              <w:rPr>
                <w:rFonts w:hint="eastAsia" w:ascii="仿宋" w:hAnsi="仿宋" w:eastAsia="仿宋" w:cs="仿宋"/>
                <w:color w:val="auto"/>
                <w:sz w:val="28"/>
                <w:szCs w:val="28"/>
                <w:highlight w:val="none"/>
              </w:rPr>
              <w:t xml:space="preserve">）后，离线编制投标文件。采购文件（后缀名为</w:t>
            </w:r>
            <w:r>
              <w:rPr>
                <w:rFonts w:hint="eastAsia" w:ascii="仿宋" w:hAnsi="仿宋" w:eastAsia="仿宋" w:cs="仿宋"/>
                <w:b/>
                <w:bCs/>
                <w:color w:val="auto"/>
                <w:sz w:val="28"/>
                <w:szCs w:val="28"/>
                <w:highlight w:val="none"/>
              </w:rPr>
              <w:t xml:space="preserve">“.kedt”）。</w:t>
            </w:r>
            <w:r/>
          </w:p>
        </w:tc>
      </w:tr>
      <w:tr>
        <w:trPr>
          <w:jc w:val="center"/>
          <w:trHeight w:val="54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(十八)1</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投标文件的提交与接收： </w:t>
            </w:r>
            <w:r/>
          </w:p>
          <w:p>
            <w:pPr>
              <w:ind w:left="560" w:hanging="560"/>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1、投标文件提交与接收时间：</w:t>
            </w:r>
            <w:r>
              <w:rPr>
                <w:rFonts w:hint="eastAsia" w:ascii="仿宋" w:hAnsi="仿宋" w:eastAsia="仿宋" w:cs="仿宋"/>
                <w:b/>
                <w:bCs/>
                <w:color w:val="auto"/>
                <w:sz w:val="30"/>
                <w:highlight w:val="none"/>
              </w:rPr>
              <w:t xml:space="preserve">2026年6月3日</w:t>
            </w:r>
            <w:r>
              <w:rPr>
                <w:rFonts w:hint="eastAsia" w:ascii="仿宋" w:hAnsi="仿宋" w:eastAsia="仿宋" w:cs="仿宋"/>
                <w:b/>
                <w:bCs/>
                <w:color w:val="auto"/>
                <w:sz w:val="28"/>
                <w:szCs w:val="28"/>
                <w:highlight w:val="none"/>
              </w:rPr>
              <w:t xml:space="preserve">09：30前。</w:t>
            </w:r>
            <w:r/>
          </w:p>
          <w:p>
            <w:pPr>
              <w:ind w:left="560" w:hanging="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2、投标文件提交与接收地点：</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投标人应当通过“苏采云”系统提交数据电文形式的投标文件（即电子投标），“苏采云”系统自动接收。</w:t>
            </w:r>
            <w:r/>
          </w:p>
        </w:tc>
      </w:tr>
      <w:tr>
        <w:trPr>
          <w:jc w:val="center"/>
          <w:trHeight w:val="45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开标</w:t>
            </w:r>
            <w:r/>
          </w:p>
        </w:tc>
      </w:tr>
      <w:tr>
        <w:trPr>
          <w:jc w:val="center"/>
          <w:trHeight w:val="251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开标时间及地点：</w:t>
            </w:r>
            <w:r>
              <w:rPr>
                <w:rFonts w:hint="eastAsia" w:ascii="仿宋" w:hAnsi="仿宋" w:eastAsia="仿宋" w:cs="仿宋"/>
                <w:color w:val="auto"/>
                <w:highlight w:val="none"/>
              </w:rPr>
              <w:tab/>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1、开标时间：</w:t>
            </w:r>
            <w:r>
              <w:rPr>
                <w:rFonts w:hint="eastAsia" w:ascii="仿宋" w:hAnsi="仿宋" w:eastAsia="仿宋" w:cs="仿宋"/>
                <w:b/>
                <w:bCs/>
                <w:color w:val="auto"/>
                <w:sz w:val="30"/>
                <w:highlight w:val="none"/>
              </w:rPr>
              <w:t xml:space="preserve">2026年6月3日</w:t>
            </w:r>
            <w:r>
              <w:rPr>
                <w:rFonts w:hint="eastAsia" w:ascii="仿宋" w:hAnsi="仿宋" w:eastAsia="仿宋" w:cs="仿宋"/>
                <w:b/>
                <w:color w:val="auto"/>
                <w:sz w:val="28"/>
                <w:szCs w:val="28"/>
                <w:highlight w:val="none"/>
              </w:rPr>
              <w:t xml:space="preserve">09：30（标准时间）</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2、开标地点：</w:t>
            </w:r>
            <w:r/>
          </w:p>
          <w:p>
            <w:pPr>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“苏采云”系统（网址： http://jszfcg.jsczt.cn/）“开标大厅”或进入徐州政府采购网（网址：http://czj.xz.gov.cn/zfcg/）--业务工作--用户登录，点击“苏采云”进入系统“开标大厅”。</w:t>
            </w:r>
            <w:r/>
          </w:p>
        </w:tc>
      </w:tr>
      <w:tr>
        <w:trPr>
          <w:jc w:val="center"/>
          <w:trHeight w:val="67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采用综合评分法。</w:t>
            </w:r>
            <w:r/>
          </w:p>
        </w:tc>
      </w:tr>
      <w:tr>
        <w:trPr>
          <w:jc w:val="center"/>
          <w:trHeight w:val="270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(二十八)1</w:t>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一、推荐中标候选供应商名单。中标候选供应商数量应当根据采购需要确定，但必须按顺序排列中标候选供应商。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采用综合评分法的，按评审后得分由高到低顺序排列。得分相同的，按投标报价由低到高顺序排列。得分且投标报价相同的，按保洁实施方案得分顺序排列。评标委员会直接确定中标人，中标人数量为5家。每个投标人只能中一个采购包，按采购包一、二、三、四、五的顺序进行定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(三十六)1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履约保证金：无。</w:t>
            </w:r>
            <w:r/>
          </w:p>
        </w:tc>
      </w:tr>
      <w:tr>
        <w:trPr>
          <w:jc w:val="center"/>
          <w:trHeight w:val="102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(四十)</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质疑接收人：陈胜男      联系电话：0516-83799962</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地址：徐州市泉山区荣盛未来广场商业街S1-135</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中标人在收到中标通知书时，须向采购人和采购代理机构提交《开标一览表》和《分项价格表》的数据文件（WORD格式）。</w:t>
            </w:r>
            <w:r/>
          </w:p>
        </w:tc>
      </w:tr>
      <w:tr>
        <w:trPr>
          <w:jc w:val="center"/>
          <w:trHeight w:val="1633"/>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4、实施政府采购异常低价审查的有关要求：</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（一）评审中出现下列情形之一的，评审（评标）委员会应当启动异常低价投标（响应）审查程序：</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1.投标（响应）报价低于全部通过符合性审查供应商投标（响应）报价平均值50%的，即投标（响应）报价&lt;全部通过符合性审查供应商投标（响应）报价平均值×50%；</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2.投标（响应）报价低于通过符合性审查的次低报价供应商投标（响应）报价50%的，即投标（响应）报价&lt;通过符合性审查的次低报价供应商投标（响应）报价×50%；</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3.投标（响应）报价低于采购项目最高限价（未设定最高限价的采购项目，以采购项目预算金额作为最高限价）45%的，即投标（响应）报价&lt;采购项目最高限价×45%；</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4.评审（评标）委员会基于专业判断，认为供应商报价过低，有可能影响产品质量或者不能诚信履约的其他情形。</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rPr>
          <w:rFonts w:ascii="仿宋" w:hAnsi="仿宋" w:eastAsia="仿宋" w:cs="仿宋"/>
          <w:color w:val="auto"/>
          <w:sz w:val="30"/>
          <w:highlight w:val="none"/>
        </w:rPr>
      </w:pPr>
      <w:r>
        <w:rPr>
          <w:rFonts w:hint="eastAsia" w:ascii="仿宋" w:hAnsi="仿宋" w:eastAsia="仿宋" w:cs="仿宋"/>
          <w:color w:val="auto"/>
          <w:sz w:val="30"/>
          <w:highlight w:val="none"/>
        </w:rPr>
        <w:br w:type="page" w:clear="all"/>
      </w:r>
      <w:r/>
    </w:p>
    <w:p>
      <w:pP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本章附件：</w:t>
      </w:r>
      <w:r>
        <w:rPr>
          <w:rFonts w:hint="eastAsia" w:ascii="仿宋" w:hAnsi="仿宋" w:eastAsia="仿宋" w:cs="仿宋"/>
          <w:b/>
          <w:color w:val="auto"/>
          <w:sz w:val="30"/>
          <w:highlight w:val="none"/>
        </w:rPr>
        <w:t xml:space="preserve">招标代理服务收费标准</w:t>
      </w:r>
      <w:r/>
    </w:p>
    <w:p>
      <w:pPr>
        <w:ind w:firstLine="630"/>
        <w:jc w:val="center"/>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徐州市政府采购代理服务费行业指导价格</w:t>
      </w:r>
      <w:r/>
    </w:p>
    <w:tbl>
      <w:tblPr>
        <w:tblStyle w:val="924"/>
        <w:tblW w:w="7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580"/>
        </w:trPr>
        <w:tc>
          <w:tcPr>
            <w:tcW w:w="4746" w:type="dxa"/>
            <w:vAlign w:val="center"/>
            <w:textDirection w:val="lrTb"/>
            <w:noWrap w:val="false"/>
          </w:tcPr>
          <w:p>
            <w:pPr>
              <w:ind w:firstLine="630"/>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中标或者成交金额</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费率</w:t>
            </w:r>
            <w:r/>
          </w:p>
        </w:tc>
      </w:tr>
      <w:tr>
        <w:trPr>
          <w:jc w:val="center"/>
          <w:trHeight w:val="717"/>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最低收费金额(每个委托项目)</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en-US"/>
              </w:rPr>
              <w:t xml:space="preserve">0万以下</w:t>
            </w:r>
            <w:r>
              <w:rPr>
                <w:rFonts w:hint="eastAsia" w:ascii="仿宋" w:hAnsi="仿宋" w:eastAsia="仿宋" w:cs="仿宋"/>
                <w:color w:val="auto"/>
                <w:sz w:val="24"/>
                <w:highlight w:val="none"/>
              </w:rPr>
              <w:t xml:space="preserve">（含50万元）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1.</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50-4</w:t>
            </w:r>
            <w:r>
              <w:rPr>
                <w:rFonts w:hint="eastAsia" w:ascii="仿宋" w:hAnsi="仿宋" w:eastAsia="仿宋" w:cs="仿宋"/>
                <w:color w:val="auto"/>
                <w:sz w:val="24"/>
                <w:highlight w:val="none"/>
                <w:lang w:eastAsia="en-US"/>
              </w:rPr>
              <w:t xml:space="preserve">00万</w:t>
            </w:r>
            <w:r>
              <w:rPr>
                <w:rFonts w:hint="eastAsia" w:ascii="仿宋" w:hAnsi="仿宋" w:eastAsia="仿宋" w:cs="仿宋"/>
                <w:color w:val="auto"/>
                <w:sz w:val="24"/>
                <w:highlight w:val="none"/>
              </w:rPr>
              <w:t xml:space="preserve">（含400万元）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1.</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en-US"/>
              </w:rPr>
              <w:t xml:space="preserve">00</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en-US"/>
              </w:rPr>
              <w:t xml:space="preserve">1000万</w:t>
            </w:r>
            <w:r>
              <w:rPr>
                <w:rFonts w:hint="eastAsia" w:ascii="仿宋" w:hAnsi="仿宋" w:eastAsia="仿宋" w:cs="仿宋"/>
                <w:color w:val="auto"/>
                <w:sz w:val="24"/>
                <w:highlight w:val="none"/>
              </w:rPr>
              <w:t xml:space="preserve">（含1000万元）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l000</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en-US"/>
              </w:rPr>
              <w:t xml:space="preserve">5000万</w:t>
            </w:r>
            <w:r>
              <w:rPr>
                <w:rFonts w:hint="eastAsia" w:ascii="仿宋" w:hAnsi="仿宋" w:eastAsia="仿宋" w:cs="仿宋"/>
                <w:color w:val="auto"/>
                <w:sz w:val="24"/>
                <w:highlight w:val="none"/>
              </w:rPr>
              <w:t xml:space="preserve">（含5000万元）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0.</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5000</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en-US"/>
              </w:rPr>
              <w:t xml:space="preserve">l亿</w:t>
            </w:r>
            <w:r>
              <w:rPr>
                <w:rFonts w:hint="eastAsia" w:ascii="仿宋" w:hAnsi="仿宋" w:eastAsia="仿宋" w:cs="仿宋"/>
                <w:color w:val="auto"/>
                <w:sz w:val="24"/>
                <w:highlight w:val="none"/>
              </w:rPr>
              <w:t xml:space="preserve">（含1亿元）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1亿</w:t>
            </w: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eastAsia="en-US"/>
              </w:rPr>
              <w:t xml:space="preserve">亿</w:t>
            </w:r>
            <w:r>
              <w:rPr>
                <w:rFonts w:hint="eastAsia" w:ascii="仿宋" w:hAnsi="仿宋" w:eastAsia="仿宋" w:cs="仿宋"/>
                <w:color w:val="auto"/>
                <w:sz w:val="24"/>
                <w:highlight w:val="none"/>
              </w:rPr>
              <w:t xml:space="preserve">（含10亿元）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10-5</w:t>
            </w:r>
            <w:r>
              <w:rPr>
                <w:rFonts w:hint="eastAsia" w:ascii="仿宋" w:hAnsi="仿宋" w:eastAsia="仿宋" w:cs="仿宋"/>
                <w:color w:val="auto"/>
                <w:sz w:val="24"/>
                <w:highlight w:val="none"/>
                <w:lang w:eastAsia="en-US"/>
              </w:rPr>
              <w:t xml:space="preserve">0亿</w:t>
            </w:r>
            <w:r>
              <w:rPr>
                <w:rFonts w:hint="eastAsia" w:ascii="仿宋" w:hAnsi="仿宋" w:eastAsia="仿宋" w:cs="仿宋"/>
                <w:color w:val="auto"/>
                <w:sz w:val="24"/>
                <w:highlight w:val="none"/>
              </w:rPr>
              <w:t xml:space="preserve">（含50亿元）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0.0</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50亿以上</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0.00</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en-US"/>
              </w:rPr>
              <w:t xml:space="preserve">%</w:t>
            </w:r>
            <w:r/>
          </w:p>
        </w:tc>
      </w:tr>
    </w:tbl>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1.按上表计算的收费为代理服务全过程的收费金额。各社会代理机构不再收取采购文件制作售卖费用。</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2.代理服务费按差额定率累进法计算。</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3.代理服务费基准金额(按差额定率累进法计算的)=中标金额(按差额定率累进法计算的)*费率(%)</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4.代理服务费应收取金额=代理服务费基准金额(按差额定率累进法计算的)的合计数。</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5.定点类等无金额或事先不能计算出价格总额的项目，按中标(成交)金额 100万元计算。</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6.有分包(分标段)的按一个项目计算。</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7.代理服务费用缴纳账户信息：</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账户名称：江苏天同工程咨询有限公司</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开户银行：徐州农村商业银行御景湾支行 </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账号：3203020341010000010793</w:t>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rPr>
          <w:rFonts w:ascii="仿宋" w:hAnsi="仿宋" w:eastAsia="仿宋" w:cs="仿宋"/>
          <w:b/>
          <w:color w:val="auto"/>
          <w:sz w:val="30"/>
          <w:highlight w:val="none"/>
        </w:rPr>
      </w:pPr>
      <w:r>
        <w:rPr>
          <w:rFonts w:hint="eastAsia" w:ascii="仿宋" w:hAnsi="仿宋" w:eastAsia="仿宋" w:cs="仿宋"/>
          <w:b/>
          <w:color w:val="auto"/>
          <w:sz w:val="30"/>
          <w:highlight w:val="none"/>
        </w:rPr>
        <w:br w:type="page" w:clear="all"/>
      </w:r>
      <w:r/>
    </w:p>
    <w:p>
      <w:pPr>
        <w:jc w:val="center"/>
        <w:spacing w:line="360" w:lineRule="auto"/>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第四章 评标标准 </w:t>
      </w:r>
      <w:r/>
    </w:p>
    <w:tbl>
      <w:tblPr>
        <w:tblStyle w:val="924"/>
        <w:tblW w:w="1002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805"/>
        <w:gridCol w:w="1374"/>
        <w:gridCol w:w="7845"/>
      </w:tblGrid>
      <w:tr>
        <w:trPr>
          <w:jc w:val="center"/>
          <w:trHeight w:val="90"/>
        </w:trPr>
        <w:tc>
          <w:tcPr>
            <w:gridSpan w:val="2"/>
            <w:tcMar>
              <w:left w:w="108" w:type="dxa"/>
              <w:top w:w="0" w:type="dxa"/>
              <w:right w:w="108" w:type="dxa"/>
              <w:bottom w:w="0" w:type="dxa"/>
            </w:tcMar>
            <w:tcW w:w="2179"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w:t>
            </w:r>
            <w:r/>
          </w:p>
        </w:tc>
        <w:tc>
          <w:tcPr>
            <w:tcMar>
              <w:left w:w="108" w:type="dxa"/>
              <w:top w:w="0" w:type="dxa"/>
              <w:right w:w="108" w:type="dxa"/>
              <w:bottom w:w="0" w:type="dxa"/>
            </w:tcMar>
            <w:tcW w:w="7845"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评分细则</w:t>
            </w:r>
            <w:r/>
          </w:p>
        </w:tc>
      </w:tr>
      <w:tr>
        <w:trPr>
          <w:jc w:val="center"/>
          <w:trHeight w:val="2287"/>
        </w:trPr>
        <w:tc>
          <w:tcPr>
            <w:gridSpan w:val="2"/>
            <w:tcMar>
              <w:left w:w="108" w:type="dxa"/>
              <w:top w:w="0" w:type="dxa"/>
              <w:right w:w="108" w:type="dxa"/>
              <w:bottom w:w="0" w:type="dxa"/>
            </w:tcMar>
            <w:tcW w:w="2179"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（15分）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各投标人价格得分=最低报价（投标人的最低评审价格）÷各投标人评审价格×15</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注：得分四舍五入保留小数点后 2 位。</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913"/>
        </w:trPr>
        <w:tc>
          <w:tcPr>
            <w:gridSpan w:val="2"/>
            <w:tcMar>
              <w:left w:w="108" w:type="dxa"/>
              <w:top w:w="0" w:type="dxa"/>
              <w:right w:w="108" w:type="dxa"/>
              <w:bottom w:w="0" w:type="dxa"/>
            </w:tcMar>
            <w:tcW w:w="2179"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业绩（4分）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投标文件中提供投标人为乙方，合同签订日期在2023年5月1日以后，合同内容为与本次标的类似的合同原件扫描件每份得2分，本项最高得4分（需同时提供中标通知书、中标合同和项目结算的任意发票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注：投标文件中提供中标通知书、中标合同和项目结算的任意发票原件扫描件加盖电子签章。</w:t>
            </w:r>
            <w:r/>
          </w:p>
        </w:tc>
      </w:tr>
      <w:tr>
        <w:trPr>
          <w:jc w:val="center"/>
          <w:trHeight w:val="913"/>
        </w:trPr>
        <w:tc>
          <w:tcPr>
            <w:gridSpan w:val="2"/>
            <w:tcMar>
              <w:left w:w="108" w:type="dxa"/>
              <w:top w:w="0" w:type="dxa"/>
              <w:right w:w="108" w:type="dxa"/>
              <w:bottom w:w="0" w:type="dxa"/>
            </w:tcMar>
            <w:tcW w:w="2179" w:type="dxa"/>
            <w:vAlign w:val="center"/>
            <w:textDirection w:val="lrTb"/>
            <w:noWrap w:val="false"/>
          </w:tcPr>
          <w:p>
            <w:pPr>
              <w:pStyle w:val="959"/>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企业综合实力</w:t>
            </w:r>
            <w:r/>
          </w:p>
          <w:p>
            <w:pPr>
              <w:pStyle w:val="959"/>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（3分）</w:t>
            </w:r>
            <w:r/>
          </w:p>
        </w:tc>
        <w:tc>
          <w:tcPr>
            <w:tcMar>
              <w:left w:w="108" w:type="dxa"/>
              <w:top w:w="0" w:type="dxa"/>
              <w:right w:w="108" w:type="dxa"/>
              <w:bottom w:w="0" w:type="dxa"/>
            </w:tcMar>
            <w:tcW w:w="7845" w:type="dxa"/>
            <w:vAlign w:val="center"/>
            <w:textDirection w:val="lrTb"/>
            <w:noWrap w:val="false"/>
          </w:tcPr>
          <w:p>
            <w:pPr>
              <w:pStyle w:val="959"/>
              <w:jc w:val="lef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提供投标人有效期内的质量管理体系认证证书、环境管理体系认证证书、职业安全健康管理体系认证证书原件扫描件，证书状态在有效期内的，每提供一个得1分。</w:t>
            </w:r>
            <w:r/>
          </w:p>
          <w:p>
            <w:pPr>
              <w:pStyle w:val="959"/>
              <w:rPr>
                <w:rFonts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本项最高得3分，最低得0分。</w:t>
            </w:r>
            <w:r/>
          </w:p>
        </w:tc>
      </w:tr>
      <w:tr>
        <w:trPr>
          <w:jc w:val="center"/>
          <w:trHeight w:val="1187"/>
        </w:trPr>
        <w:tc>
          <w:tcPr>
            <w:gridSpan w:val="2"/>
            <w:tcMar>
              <w:left w:w="108" w:type="dxa"/>
              <w:top w:w="0" w:type="dxa"/>
              <w:right w:w="108" w:type="dxa"/>
              <w:bottom w:w="0" w:type="dxa"/>
            </w:tcMar>
            <w:tcW w:w="2179" w:type="dxa"/>
            <w:vAlign w:val="center"/>
            <w:textDirection w:val="lrTb"/>
            <w:noWrap w:val="false"/>
          </w:tcPr>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设备、车辆配备配置（</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numPr>
                <w:ilvl w:val="0"/>
                <w:numId w:val="0"/>
              </w:numP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满足招标文件《采购需求》中“设备、车辆配备要求”</w:t>
            </w:r>
            <w:r>
              <w:rPr>
                <w:rFonts w:hint="eastAsia" w:ascii="仿宋" w:hAnsi="仿宋" w:eastAsia="仿宋" w:cs="仿宋"/>
                <w:color w:val="auto"/>
                <w:sz w:val="24"/>
                <w:szCs w:val="24"/>
                <w:highlight w:val="none"/>
                <w:lang w:val="en-US" w:eastAsia="zh-CN"/>
              </w:rPr>
              <w:t xml:space="preserve">中配置新能源高压清洗车、洗扫一体车、新能源1吨小型高压冲洗车数量</w:t>
            </w:r>
            <w:r>
              <w:rPr>
                <w:rFonts w:hint="eastAsia" w:ascii="仿宋" w:hAnsi="仿宋" w:eastAsia="仿宋" w:cs="仿宋"/>
                <w:color w:val="auto"/>
                <w:sz w:val="24"/>
                <w:szCs w:val="24"/>
                <w:highlight w:val="none"/>
              </w:rPr>
              <w:t xml:space="preserve">的基础上，</w:t>
            </w:r>
            <w:r>
              <w:rPr>
                <w:rFonts w:hint="eastAsia" w:ascii="仿宋" w:hAnsi="仿宋" w:eastAsia="仿宋" w:cs="仿宋"/>
                <w:color w:val="auto"/>
                <w:sz w:val="24"/>
                <w:szCs w:val="24"/>
                <w:highlight w:val="none"/>
                <w:lang w:val="en-US" w:eastAsia="zh-CN"/>
              </w:rPr>
              <w:t xml:space="preserve">各采购包</w:t>
            </w:r>
            <w:r>
              <w:rPr>
                <w:rFonts w:hint="eastAsia" w:ascii="仿宋" w:hAnsi="仿宋" w:eastAsia="仿宋" w:cs="仿宋"/>
                <w:color w:val="auto"/>
                <w:sz w:val="24"/>
                <w:szCs w:val="24"/>
                <w:highlight w:val="none"/>
              </w:rPr>
              <w:t xml:space="preserve">设备、车辆配备</w:t>
            </w:r>
            <w:r>
              <w:rPr>
                <w:rFonts w:hint="eastAsia" w:ascii="仿宋" w:hAnsi="仿宋" w:eastAsia="仿宋" w:cs="仿宋"/>
                <w:color w:val="auto"/>
                <w:sz w:val="24"/>
                <w:szCs w:val="24"/>
                <w:highlight w:val="none"/>
                <w:lang w:val="en-US" w:eastAsia="zh-CN"/>
              </w:rPr>
              <w:t xml:space="preserve">总数不变的情况下，新能源车辆配置中每新增</w:t>
            </w:r>
            <w:r>
              <w:rPr>
                <w:rFonts w:hint="eastAsia" w:ascii="仿宋" w:hAnsi="仿宋" w:eastAsia="仿宋" w:cs="仿宋"/>
                <w:color w:val="auto"/>
                <w:sz w:val="24"/>
                <w:szCs w:val="24"/>
                <w:highlight w:val="none"/>
              </w:rPr>
              <w:t xml:space="preserve">加一辆加</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分，最高得1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以承诺书为准。</w:t>
            </w:r>
            <w:r/>
          </w:p>
        </w:tc>
      </w:tr>
      <w:tr>
        <w:trPr>
          <w:jc w:val="center"/>
          <w:trHeight w:val="1041"/>
        </w:trPr>
        <w:tc>
          <w:tcPr>
            <w:tcMar>
              <w:left w:w="108" w:type="dxa"/>
              <w:top w:w="0" w:type="dxa"/>
              <w:right w:w="108" w:type="dxa"/>
              <w:bottom w:w="0" w:type="dxa"/>
            </w:tcMar>
            <w:tcW w:w="805" w:type="dxa"/>
            <w:vAlign w:val="center"/>
            <w:vMerge w:val="restart"/>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保洁实施方案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项目分析</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对投标文件中项目分析的服务定位和目标及作业范围和现场作业的难点、重点等描述与分析是否全面、清晰、准确进行综合打分。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①内容全面、清晰、准确得5分；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②内容较为全面、准确得4分；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③内容一般得3分；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④内容较差得2分；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⑤内容差得1分；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⑥未提供得0分。</w:t>
            </w:r>
            <w:r/>
          </w:p>
        </w:tc>
      </w:tr>
      <w:tr>
        <w:trPr>
          <w:jc w:val="center"/>
          <w:trHeight w:val="90"/>
        </w:trPr>
        <w:tc>
          <w:tcPr>
            <w:tcMar>
              <w:left w:w="108" w:type="dxa"/>
              <w:top w:w="0" w:type="dxa"/>
              <w:right w:w="108" w:type="dxa"/>
              <w:bottom w:w="0" w:type="dxa"/>
            </w:tcMar>
            <w:tcW w:w="80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项目管理团队、场所配备方案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对投标文件中《项目管理团队、场所配备方案》的科学性合理性以及《项目组织架构表》的完善性进行综合打分。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①内容全面、清晰、准确得5分；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②内容较为全面、准确得4分；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③内容一般得3分；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④内容较差得2分；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⑤内容差得1分；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⑥未提供得0分。</w:t>
            </w:r>
            <w:r/>
          </w:p>
        </w:tc>
      </w:tr>
      <w:tr>
        <w:trPr>
          <w:jc w:val="center"/>
          <w:trHeight w:val="3512"/>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道路人工保洁管理方案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对投标文件中《道路人工保洁管理方案》的排班、组织、岗位设置、人工作业规范、内部人员管理制度、保洁人员培训计划、提高劳动生产率等内容进行综合打分。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对投标文件中《环卫机械化作业管理方案》机械化设备配备、作业方案、日常和季节性作业时间安排、停车场地、机械化设备管理制度、内部人员管理制度、内部人员岗位职责、设备保养等内容进行综合打分。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④方案不尽合理、针对性一般、可操作性一般得</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⑤方案不合理、无针对性、无可操作性得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⑥方案极其简陋，严重脱离项目实际得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⑦方案存在重大缺陷或常识性错误，基本无法满足得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⑧方案</w:t>
            </w:r>
            <w:r>
              <w:rPr>
                <w:rFonts w:hint="eastAsia" w:ascii="仿宋" w:hAnsi="仿宋" w:eastAsia="仿宋" w:cs="仿宋"/>
                <w:color w:val="auto"/>
                <w:sz w:val="24"/>
                <w:highlight w:val="none"/>
                <w:lang w:val="en-US" w:eastAsia="zh-CN"/>
              </w:rPr>
              <w:t xml:space="preserve">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⑨</w:t>
            </w:r>
            <w:r>
              <w:rPr>
                <w:rFonts w:hint="eastAsia" w:ascii="仿宋" w:hAnsi="仿宋" w:eastAsia="仿宋" w:cs="仿宋"/>
                <w:color w:val="auto"/>
                <w:sz w:val="24"/>
                <w:highlight w:val="none"/>
              </w:rPr>
              <w:t xml:space="preserve">未提供得0分。</w:t>
            </w:r>
            <w:r/>
          </w:p>
        </w:tc>
      </w:tr>
      <w:tr>
        <w:trPr>
          <w:jc w:val="center"/>
          <w:trHeight w:val="3332"/>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环卫机械化作业管理</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对投标文件中《环卫机械化作业管理方案》机械化设备配备、作业方案、日常和季节性作业时间安排、停车场地、机械化设备管理制度、内部人员管理制度、内部人员岗位职责、设备保养等内容进行综合打分。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④方案不尽合理、针对性一般、可操作性一般得</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⑤方案不合理、无针对性、无可操作性得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⑥方案极其简陋，严重脱离项目实际得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⑦方案存在重大缺陷或常识性错误，基本无法满足得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⑧方案</w:t>
            </w:r>
            <w:r>
              <w:rPr>
                <w:rFonts w:hint="eastAsia" w:ascii="仿宋" w:hAnsi="仿宋" w:eastAsia="仿宋" w:cs="仿宋"/>
                <w:color w:val="auto"/>
                <w:sz w:val="24"/>
                <w:highlight w:val="none"/>
                <w:lang w:val="en-US" w:eastAsia="zh-CN"/>
              </w:rPr>
              <w:t xml:space="preserve">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⑨</w:t>
            </w:r>
            <w:r>
              <w:rPr>
                <w:rFonts w:hint="eastAsia" w:ascii="仿宋" w:hAnsi="仿宋" w:eastAsia="仿宋" w:cs="仿宋"/>
                <w:color w:val="auto"/>
                <w:sz w:val="24"/>
                <w:highlight w:val="none"/>
              </w:rPr>
              <w:t xml:space="preserve">未提供得0分。</w:t>
            </w:r>
            <w:r/>
          </w:p>
        </w:tc>
      </w:tr>
      <w:tr>
        <w:trPr>
          <w:jc w:val="center"/>
          <w:trHeight w:val="379"/>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道路垃圾前端分类收集运输管理</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对投标文件中包含道路垃圾前端分类收集运输的方案、人员配备、时间安排、工具配备、设备（车辆）安排、垃圾量台账记录等完整性、针对性进行综合打分。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④方案不合理、无针对性、无可操作性得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⑤方案存在重大缺陷或常识性错误，基本无法满足得2分；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⑥方案非常差，得1分；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⑦未提供得0分。</w:t>
            </w:r>
            <w:r/>
          </w:p>
        </w:tc>
      </w:tr>
      <w:tr>
        <w:trPr>
          <w:jc w:val="center"/>
          <w:trHeight w:val="379"/>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公厕保洁管理方案</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（10分）</w:t>
            </w:r>
            <w:r/>
          </w:p>
          <w:p>
            <w:pPr>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845"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对投标文件中《公厕保洁管理方案》的排班、组织、岗位设置、人工作业规范、内部人员管理制度、保洁人员培训计划、提高劳动生产率等内容进行综合打分。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对投标文件中《环卫机械化作业管理方案》机械化设备配备、作业方案、日常和季节性作业时间安排、停车场地、机械化设备管理制度、内部人员管理制度、内部人员岗位职责、设备保养等内容进行综合打分。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④方案不尽合理、针对性一般、可操作性一般得</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⑤方案不合理、无针对性、无可操作性得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⑥方案极其简陋，严重脱离项目实际得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⑦方案存在重大缺陷或常识性错误，基本无法满足得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⑧方案</w:t>
            </w:r>
            <w:r>
              <w:rPr>
                <w:rFonts w:hint="eastAsia" w:ascii="仿宋" w:hAnsi="仿宋" w:eastAsia="仿宋" w:cs="仿宋"/>
                <w:color w:val="auto"/>
                <w:sz w:val="24"/>
                <w:highlight w:val="none"/>
                <w:lang w:val="en-US" w:eastAsia="zh-CN"/>
              </w:rPr>
              <w:t xml:space="preserve">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⑨</w:t>
            </w:r>
            <w:r>
              <w:rPr>
                <w:rFonts w:hint="eastAsia" w:ascii="仿宋" w:hAnsi="仿宋" w:eastAsia="仿宋" w:cs="仿宋"/>
                <w:color w:val="auto"/>
                <w:sz w:val="24"/>
                <w:highlight w:val="none"/>
              </w:rPr>
              <w:t xml:space="preserve">未提供得0分。</w:t>
            </w:r>
            <w:r/>
          </w:p>
        </w:tc>
      </w:tr>
      <w:tr>
        <w:trPr>
          <w:jc w:val="center"/>
          <w:trHeight w:val="831"/>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应急、突击、重大活动保障方案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且是否合理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④方案不合理、无针对性、无可操作性得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⑤方案存在重大缺陷或常识性错误，基本无法满足得2分；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⑥方案非常差，得1分；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⑦未提供得0分。</w:t>
            </w:r>
            <w:r/>
          </w:p>
        </w:tc>
      </w:tr>
      <w:tr>
        <w:trPr>
          <w:jc w:val="center"/>
          <w:trHeight w:val="831"/>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道路大气扬尘污染防治、噪声污染防治方案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对投标文件中道路大气扬尘污染、作业噪声污染防治治理方案进行完整性、合理性、针对性及达到的效果进行综合打分。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④方案不合理、无针对性、无可操作性得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⑤方案存在重大缺陷或常识性错误，基本无法满足得2分；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⑥方案非常差，得1分；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⑦未提供得0分。</w:t>
            </w:r>
            <w:r/>
          </w:p>
        </w:tc>
      </w:tr>
      <w:tr>
        <w:trPr>
          <w:jc w:val="center"/>
          <w:trHeight w:val="970"/>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文明、安全作业管理实施方案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对投标文件《文明、安全作业管理实施方案》中的车流间作业安全管控、日常安全巡查管理制度、文明作业制度等完整性、合理性等进行综合打分。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④方案不合理、无针对性、无可操作性得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⑤方案存在重大缺陷或常识性错误，基本无法满足得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⑥未提供得0分。</w:t>
            </w:r>
            <w:r/>
          </w:p>
        </w:tc>
      </w:tr>
      <w:tr>
        <w:trPr>
          <w:jc w:val="center"/>
          <w:trHeight w:val="970"/>
        </w:trPr>
        <w:tc>
          <w:tcPr>
            <w:tcBorders>
              <w:bottom w:val="single" w:color="auto" w:sz="4" w:space="0"/>
            </w:tcBorders>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bottom w:val="single" w:color="auto" w:sz="4" w:space="0"/>
            </w:tcBorders>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交接</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tc>
        <w:tc>
          <w:tcPr>
            <w:tcMar>
              <w:left w:w="108" w:type="dxa"/>
              <w:top w:w="0" w:type="dxa"/>
              <w:right w:w="108" w:type="dxa"/>
              <w:bottom w:w="0" w:type="dxa"/>
            </w:tcMar>
            <w:tcW w:w="7845" w:type="dxa"/>
            <w:vAlign w:val="center"/>
            <w:textDirection w:val="lrTb"/>
            <w:noWrap w:val="false"/>
          </w:tcPr>
          <w:p>
            <w:pPr>
              <w:pStyle w:val="927"/>
              <w:ind w:firstLine="0"/>
              <w:rPr>
                <w:rFonts w:ascii="仿宋" w:hAnsi="仿宋" w:eastAsia="仿宋" w:cs="仿宋"/>
                <w:color w:val="auto"/>
                <w:sz w:val="24"/>
                <w:highlight w:val="none"/>
              </w:rPr>
            </w:pPr>
            <w:r>
              <w:rPr>
                <w:rFonts w:hint="eastAsia" w:ascii="仿宋" w:hAnsi="仿宋" w:eastAsia="仿宋" w:cs="仿宋"/>
                <w:color w:val="auto"/>
                <w:sz w:val="24"/>
                <w:highlight w:val="none"/>
              </w:rPr>
              <w:t xml:space="preserve">进退场交接流程及交接内容、相关交接承诺：</w:t>
            </w:r>
            <w:r/>
          </w:p>
          <w:p>
            <w:pPr>
              <w:pStyle w:val="927"/>
              <w:ind w:firstLine="0"/>
              <w:rPr>
                <w:rFonts w:ascii="仿宋" w:hAnsi="仿宋" w:eastAsia="仿宋" w:cs="仿宋"/>
                <w:color w:val="auto"/>
                <w:sz w:val="24"/>
                <w:highlight w:val="none"/>
              </w:rPr>
            </w:pPr>
            <w:r>
              <w:rPr>
                <w:rFonts w:hint="eastAsia" w:ascii="仿宋" w:hAnsi="仿宋" w:eastAsia="仿宋" w:cs="仿宋"/>
                <w:color w:val="auto"/>
                <w:sz w:val="24"/>
                <w:highlight w:val="none"/>
              </w:rPr>
              <w:t xml:space="preserve">符合标段实际情况且详细完善得3分，一般得2分，较差得1分，没有不得分。</w:t>
            </w:r>
            <w:r/>
          </w:p>
        </w:tc>
      </w:tr>
    </w:tbl>
    <w:p>
      <w:pPr>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本章说明：本项目采用综合评分法。</w:t>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color w:val="auto"/>
          <w:sz w:val="24"/>
          <w:highlight w:val="none"/>
        </w:rPr>
      </w:r>
      <w:r/>
    </w:p>
    <w:p>
      <w:pPr>
        <w:pStyle w:val="1129"/>
        <w:ind w:firstLine="2409"/>
        <w:spacing w:before="0" w:beforeAutospacing="0" w:after="0" w:afterAutospacing="0" w:line="360" w:lineRule="auto"/>
        <w:rPr>
          <w:rFonts w:ascii="仿宋" w:hAnsi="仿宋" w:eastAsia="仿宋" w:cs="仿宋"/>
          <w:b/>
          <w:bCs/>
          <w:color w:val="auto"/>
          <w:sz w:val="44"/>
          <w:szCs w:val="44"/>
          <w:highlight w:val="none"/>
          <w:u w:val="single"/>
        </w:rPr>
      </w:pPr>
      <w:r>
        <w:rPr>
          <w:rFonts w:hint="eastAsia" w:ascii="仿宋" w:hAnsi="仿宋" w:eastAsia="仿宋" w:cs="仿宋"/>
          <w:b/>
          <w:bCs/>
          <w:color w:val="auto"/>
          <w:sz w:val="30"/>
          <w:szCs w:val="30"/>
          <w:highlight w:val="none"/>
        </w:rPr>
        <w:t xml:space="preserve">第五章 拟签订的合同文本</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政</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府</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采</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购</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合</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同</w:t>
      </w:r>
      <w:r/>
    </w:p>
    <w:p>
      <w:pPr>
        <w:jc w:val="cente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561"/>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20"/>
        <w:rPr>
          <w:rFonts w:ascii="仿宋" w:hAnsi="仿宋" w:eastAsia="仿宋" w:cs="仿宋"/>
          <w:color w:val="auto"/>
          <w:highlight w:val="none"/>
        </w:rPr>
      </w:pPr>
      <w:r>
        <w:rPr>
          <w:rFonts w:ascii="仿宋" w:hAnsi="仿宋" w:eastAsia="仿宋" w:cs="仿宋"/>
          <w:color w:val="auto"/>
          <w:highlight w:val="none"/>
        </w:rPr>
      </w:r>
      <w:r/>
    </w:p>
    <w:p>
      <w:pPr>
        <w:ind w:firstLine="561"/>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4"/>
          <w:highlight w:val="none"/>
          <w:u w:val="single"/>
        </w:rPr>
        <w:t xml:space="preserve">      </w:t>
      </w:r>
      <w:r/>
    </w:p>
    <w:p>
      <w:pPr>
        <w:ind w:firstLine="561"/>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4"/>
          <w:highlight w:val="none"/>
          <w:u w:val="single"/>
        </w:rPr>
        <w:t xml:space="preserve">      </w:t>
      </w:r>
      <w:r/>
    </w:p>
    <w:p>
      <w:pPr>
        <w:ind w:firstLine="561"/>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采购包名称</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p>
    <w:p>
      <w:pPr>
        <w:ind w:firstLine="561"/>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甲方（采购单位）：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8"/>
          <w:szCs w:val="28"/>
          <w:highlight w:val="none"/>
          <w:u w:val="single"/>
        </w:rPr>
        <w:t xml:space="preserve">徐州市泉山区城市管理局</w:t>
      </w:r>
      <w:r>
        <w:rPr>
          <w:rFonts w:hint="eastAsia" w:ascii="仿宋" w:hAnsi="仿宋" w:eastAsia="仿宋" w:cs="仿宋"/>
          <w:color w:val="auto"/>
          <w:sz w:val="24"/>
          <w:highlight w:val="none"/>
          <w:u w:val="single"/>
        </w:rPr>
        <w:t xml:space="preserve">      </w:t>
      </w:r>
      <w:r/>
    </w:p>
    <w:p>
      <w:pPr>
        <w:ind w:firstLine="561"/>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乙方（中标单位）：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4"/>
          <w:highlight w:val="none"/>
          <w:u w:val="single"/>
        </w:rPr>
        <w:t xml:space="preserve">   </w:t>
      </w:r>
      <w:r/>
    </w:p>
    <w:p>
      <w:pPr>
        <w:ind w:firstLine="560"/>
        <w:spacing w:line="48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合同签订日期：      年   月    日</w:t>
      </w:r>
      <w:r/>
    </w:p>
    <w:p>
      <w:pPr>
        <w:spacing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56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auto"/>
          <w:sz w:val="24"/>
          <w:highlight w:val="none"/>
        </w:rPr>
        <w:br w:type="page" w:clear="all"/>
      </w:r>
      <w:r/>
    </w:p>
    <w:p>
      <w:pPr>
        <w:pStyle w:val="930"/>
        <w:rPr>
          <w:rFonts w:ascii="仿宋" w:hAnsi="仿宋" w:eastAsia="仿宋" w:cs="仿宋"/>
          <w:color w:val="auto"/>
          <w:highlight w:val="none"/>
          <w:lang w:eastAsia="zh-CN"/>
        </w:rPr>
      </w:pPr>
      <w:r>
        <w:rPr>
          <w:rFonts w:ascii="仿宋" w:hAnsi="仿宋" w:eastAsia="仿宋" w:cs="仿宋"/>
          <w:color w:val="auto"/>
          <w:highlight w:val="none"/>
          <w:lang w:eastAsia="zh-CN"/>
        </w:rPr>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第一节 总 则</w:t>
      </w:r>
      <w:r/>
    </w:p>
    <w:p>
      <w:pPr>
        <w:ind w:firstLine="480"/>
        <w:spacing w:line="578"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第一条  本合同当事人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甲方（采购单位）：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乙方（中标单位）：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合同服务期限三年：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第二条  合同编号</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采购编号：</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采购包名称：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签订地点：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第三条  合同签订依据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为推行环卫市场化保洁运作，甲乙双方根据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日泉山区环卫市场化保洁项目（项目编号：</w:t>
      </w:r>
      <w:r>
        <w:rPr>
          <w:rFonts w:hint="eastAsia" w:ascii="仿宋" w:hAnsi="仿宋" w:eastAsia="仿宋" w:cs="仿宋"/>
          <w:color w:val="auto"/>
          <w:sz w:val="24"/>
          <w:highlight w:val="none"/>
          <w:lang w:eastAsia="zh-CN"/>
        </w:rPr>
        <w:t xml:space="preserve">JSZC-320311-TTDL-G2026-0003</w:t>
      </w:r>
      <w:r>
        <w:rPr>
          <w:rFonts w:hint="eastAsia" w:ascii="仿宋" w:hAnsi="仿宋" w:eastAsia="仿宋" w:cs="仿宋"/>
          <w:color w:val="auto"/>
          <w:sz w:val="24"/>
          <w:highlight w:val="none"/>
        </w:rPr>
        <w:t xml:space="preserve">）招标结果，依据《中华人民共和国民法典》《中华人民共和国政府采购法》《城市市容和环境卫生管理条例》《江苏省城市市容和环境卫生管理条例》《城市生活垃圾管理办法》等有关法律法规、规章规定，甲乙双方恪守公平、公正、诚信的原则，友好协商，签订本合同。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第四条  合同文件的组成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本合同所附下列文件是构成本合同不可分割的部分：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1.泉山区环卫市场化保洁项目招标文件（项目编号：</w:t>
      </w:r>
      <w:r>
        <w:rPr>
          <w:rFonts w:hint="eastAsia" w:ascii="仿宋" w:hAnsi="仿宋" w:eastAsia="仿宋" w:cs="仿宋"/>
          <w:color w:val="auto"/>
          <w:sz w:val="24"/>
          <w:highlight w:val="none"/>
          <w:lang w:eastAsia="zh-CN"/>
        </w:rPr>
        <w:t xml:space="preserve">JSZC-320311-TTDL-G2026-0003</w:t>
      </w:r>
      <w:r>
        <w:rPr>
          <w:rFonts w:hint="eastAsia" w:ascii="仿宋" w:hAnsi="仿宋" w:eastAsia="仿宋" w:cs="仿宋"/>
          <w:color w:val="auto"/>
          <w:sz w:val="24"/>
          <w:highlight w:val="none"/>
        </w:rPr>
        <w:t xml:space="preserve">）以及相关的澄清、补充文件等；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2.乙方的投标文件及其在开标过程中所作的其他承诺、声明、书面澄清等；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3.中标通知书。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第五条  承包范围</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招标文件（项目编号：</w:t>
      </w:r>
      <w:r>
        <w:rPr>
          <w:rFonts w:hint="eastAsia" w:ascii="仿宋" w:hAnsi="仿宋" w:eastAsia="仿宋" w:cs="仿宋"/>
          <w:color w:val="auto"/>
          <w:sz w:val="24"/>
          <w:highlight w:val="none"/>
          <w:lang w:eastAsia="zh-CN"/>
        </w:rPr>
        <w:t xml:space="preserve">JSZC-320311-TTDL-G2026-0003</w:t>
      </w:r>
      <w:r>
        <w:rPr>
          <w:rFonts w:hint="eastAsia" w:ascii="仿宋" w:hAnsi="仿宋" w:eastAsia="仿宋" w:cs="仿宋"/>
          <w:color w:val="auto"/>
          <w:sz w:val="24"/>
          <w:highlight w:val="none"/>
        </w:rPr>
        <w:t xml:space="preserve">），具体内容见招标文件第六章《项目要求》。</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第二节  项目内容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第六条 项目名称：泉山区环卫市场化保洁项目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第七条 作业范围及内容：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1.作业范围：</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1.1道路作业区域：泉山区范围内城市主次干道、背街小巷等。</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1.2公厕作业区域：城市主次干道、背街小巷沿线的公厕。</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有建筑物的道路两侧墙到墙，无建筑物立面的按照采购人要求保洁</w:t>
      </w:r>
      <w:r>
        <w:rPr>
          <w:rFonts w:hint="eastAsia" w:ascii="仿宋" w:hAnsi="仿宋" w:eastAsia="仿宋" w:cs="仿宋"/>
          <w:color w:val="auto"/>
          <w:sz w:val="24"/>
          <w:highlight w:val="none"/>
          <w:lang w:eastAsia="zh-CN"/>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2.作业内容：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市场化道路保洁；道路沿线绿化带、绿地漂浮物捡拾（包含果皮、纸屑、烟头、口香糖、饮料罐、塑料袋等），实现“一把扫帚扫到底”，市管、区管道路外侧大面积绿地（连片不易分割的绿地）及口袋公园，山体、河道立面等绿地不纳入；车道、人行道隔离护栏清洗；两侧建筑物（构筑物）等其他公共设施立面（1.8米以下）野广告清理；果皮箱、烟头收集器等环卫设施清洗保洁；立交桥保洁及立面清洗；公厕保洁（含粪便清运）；扫雪除冰、重大活动环境卫生保障等应急管理；城管部门交办的临时性任务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3.具体作业项目、作业量详见附件。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第八条 作业规范、标准及要求：作业规范符合但不限于《市容环卫工程项目规范》（GB55013-2021）和《城市道路清扫保洁与质量评价标准》（CJJ/T126-2022）等现行标准规范。</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（一）规范管理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1.组织机构健全。乙方应当按照环卫企业规范管理要求设立各相关内部管理机构，管理人员规范着装、文明作业。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2.各项管理制度健全，制定各岗位操作规范，定期组织安全生产教育，具有完善的突发事件应急预案。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3.乙方须根据甲方要求开展作业质量检查，并提供保障，包括但不限于车辆等设施设备。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4.环卫作业应做到文明、安全和有序，最大限度地减少对环境的污染和对公众生活的影响。</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环卫作业人员应穿着统一制式的作业服装（含鞋、帽等），做到着装整齐。环卫工人工作服符合国家标准要求，即GB20653《职业用高可视性警示服国家标准GB20653》及江苏省市场监督管理局DB32/T5132.4-2025《重点人群职业健康保护行动指南》的相关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（1）颜色要求：环卫工人工作服的颜色应当鲜明、醒目，以便于识别和警示，环卫工人各季工作服款式参数参照《无锡市环卫工作服参数执行标准》。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（2）反光条设置：工作服上必须带有反光条，反光条的宽度不得低于5厘米，反光材料的最小面积对于3级警示服为0.20㎡，2级警示服为0.13㎡，1级警示服为0.10㎡。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6.环卫作业机具、设备的式样、颜色、结构等应全市统一。作业机具、设备喷涂的字样或图样，由市、区两级城管部门规定。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7.乙方应编制突发事件应急预案，成立应急突击队，应急队伍要做到30分钟之内到现场，2小时之内处理完毕，24小时之内反馈，做好各类重大活动、应急处置等保障。</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（二）保洁时间要求：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1.道路人工保洁时间</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道路保洁要求每日7：00前完成全覆盖普扫，一级道路保洁至22:00。</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二级道路保洁至21:00（其中12月至次年2月19:00-21:00，按不低于满勤的50%考虑；其余月份20:00-21:00，按不低于满勤的50%考虑）。</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三级道路保洁至19:00（其中12月至次年2月17:00-19:00，按不低于满勤的50%考虑；其余月份18:00-19:00，按不低于满勤的50%考虑）。</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2.道路机械化作业保洁时间</w:t>
      </w:r>
      <w:r/>
    </w:p>
    <w:p>
      <w:pPr>
        <w:ind w:firstLine="480"/>
        <w:spacing w:line="360" w:lineRule="auto"/>
        <w:rPr>
          <w:rFonts w:ascii="仿宋" w:hAnsi="仿宋" w:eastAsia="仿宋" w:cs="仿宋"/>
          <w:color w:val="auto"/>
          <w:sz w:val="32"/>
          <w:szCs w:val="32"/>
          <w:highlight w:val="none"/>
        </w:rPr>
      </w:pPr>
      <w:r>
        <w:rPr>
          <w:rFonts w:hint="eastAsia" w:ascii="仿宋" w:hAnsi="仿宋" w:eastAsia="仿宋" w:cs="仿宋"/>
          <w:color w:val="auto"/>
          <w:sz w:val="24"/>
          <w:highlight w:val="none"/>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spacing w:line="360" w:lineRule="auto"/>
        <w:widowControl/>
        <w:rPr>
          <w:rFonts w:ascii="仿宋" w:hAnsi="仿宋" w:eastAsia="仿宋" w:cs="仿宋"/>
          <w:color w:val="auto"/>
          <w:sz w:val="24"/>
          <w:highlight w:val="none"/>
        </w:rPr>
      </w:pPr>
      <w:r>
        <w:rPr>
          <w:rFonts w:hint="eastAsia" w:ascii="仿宋_GB2312" w:hAnsi="仿宋_GB2312" w:eastAsia="仿宋_GB2312" w:cs="仿宋_GB2312"/>
          <w:color w:val="auto"/>
          <w:sz w:val="24"/>
          <w:highlight w:val="none"/>
        </w:rPr>
        <w:t xml:space="preserve">车行道、人行道隔离护栏清洗每2周清洗一次。</w:t>
      </w:r>
      <w:r/>
    </w:p>
    <w:p>
      <w:pPr>
        <w:ind w:firstLine="480"/>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3.公厕开放及保洁时间</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（1）24小时开放。</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（2）保洁时间：三星标准3月20日至11月14日6:00～23:00、11月15日至次年3月19日6:00～22:00；二星标准3月20日至11月14日6:00～22:00、11月15日至次年3月19日6:00～21:00；一星标准全年6:00～20:00。</w:t>
      </w:r>
      <w:r/>
    </w:p>
    <w:p>
      <w:pPr>
        <w:ind w:firstLine="24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（三）保洁作业要求</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1.道路保洁作业要求：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有建筑物的道路两侧墙到墙，无建筑物立面的按照甲方要求。普扫作业应做到“五无五净”：无积存垃圾，无积水积泥，无烟蒂纸屑，无果皮等其他生活垃圾，无土石杂草；路面干净，绿地、绿化带和树圈干净，侧石干净，雨水井盖干净，果皮箱等环卫设施干净。</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机械化清扫保洁时间应避开城市道路交通高峰时段，原则上要求在07:00-09:00,17:00-19:00时段内严禁作业，具体禁止作业时间调整以交管、城管部门通知为准。冲洗作业时速≤20公里/小时，洗扫作业时速≤15公里/小时，洒水作业时速≤25公里/小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（3）人工作业：普扫，清扫，捡拾，快速巡回保洁（</w:t>
      </w:r>
      <w:r>
        <w:rPr>
          <w:rFonts w:hint="eastAsia" w:ascii="仿宋" w:hAnsi="仿宋" w:eastAsia="仿宋" w:cs="仿宋"/>
          <w:color w:val="auto"/>
          <w:sz w:val="24"/>
          <w:highlight w:val="none"/>
          <w:lang w:eastAsia="zh-CN"/>
        </w:rPr>
        <w:t xml:space="preserve">快速保洁车</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2.道路垃圾前端分类收集运输作业要求：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（1）分类收集容器更新维护。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（2）垃圾分类收集运输符合相关标准要求。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3.道路绿化带捡拾、立交桥保洁、公厕保洁（含粪便清运）；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4.护栏清洗：人工擦洗或机械清洗。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5.野广告清理：专人巡查、清理。</w:t>
      </w:r>
      <w:r/>
    </w:p>
    <w:p>
      <w:pPr>
        <w:ind w:firstLine="480"/>
        <w:spacing w:line="360" w:lineRule="auto"/>
        <w:rPr>
          <w:rFonts w:ascii="仿宋" w:hAnsi="仿宋" w:eastAsia="仿宋" w:cs="仿宋"/>
          <w:color w:val="auto"/>
          <w:highlight w:val="none"/>
        </w:rPr>
      </w:pPr>
      <w:r>
        <w:rPr>
          <w:rFonts w:hint="eastAsia" w:ascii="仿宋" w:hAnsi="仿宋" w:eastAsia="仿宋" w:cs="仿宋"/>
          <w:color w:val="auto"/>
          <w:sz w:val="24"/>
          <w:highlight w:val="none"/>
        </w:rPr>
        <w:t xml:space="preserve">6.安全规定：机动车道严禁人工作业，确需作业的按法律法规做好安全防护措施。</w:t>
      </w:r>
      <w:r/>
    </w:p>
    <w:p>
      <w:pPr>
        <w:jc w:val="center"/>
        <w:spacing w:line="360" w:lineRule="auto"/>
        <w:tabs>
          <w:tab w:val="center" w:pos="5131" w:leader="none"/>
        </w:tabs>
        <w:rPr>
          <w:rFonts w:ascii="仿宋" w:hAnsi="仿宋" w:eastAsia="仿宋" w:cs="仿宋"/>
          <w:color w:val="auto"/>
          <w:sz w:val="32"/>
          <w:szCs w:val="32"/>
          <w:highlight w:val="none"/>
        </w:rPr>
      </w:pPr>
      <w:r>
        <w:rPr>
          <w:rFonts w:hint="eastAsia" w:ascii="仿宋" w:hAnsi="仿宋" w:eastAsia="仿宋" w:cs="仿宋"/>
          <w:b/>
          <w:bCs/>
          <w:color w:val="auto"/>
          <w:sz w:val="24"/>
          <w:highlight w:val="none"/>
        </w:rPr>
        <w:t xml:space="preserve">第三节  作业人员、服装、防护用品及设备（车辆）配置</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第九条  人员及服装要求</w:t>
      </w:r>
      <w:r/>
    </w:p>
    <w:p>
      <w:pPr>
        <w:ind w:firstLine="480"/>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人员数量配备：</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人（其中道路保洁人员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人，公厕保洁人员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人，驾驶员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人，班组长</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w:t>
      </w:r>
      <w:r>
        <w:rPr>
          <w:rFonts w:hint="eastAsia" w:ascii="仿宋" w:hAnsi="仿宋" w:eastAsia="仿宋" w:cs="仿宋"/>
          <w:color w:val="auto"/>
          <w:sz w:val="24"/>
          <w:highlight w:val="none"/>
          <w:lang w:val="zh-CN"/>
        </w:rPr>
        <w:t xml:space="preserve">。</w:t>
      </w:r>
      <w:r/>
    </w:p>
    <w:p>
      <w:pPr>
        <w:ind w:firstLine="480"/>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服装及防护用品配备要求：（1）夏装每人每年2套，春秋装每人每年1套，冬装棉服每人</w:t>
      </w:r>
      <w:r>
        <w:rPr>
          <w:rFonts w:hint="eastAsia" w:ascii="仿宋" w:hAnsi="仿宋" w:eastAsia="仿宋" w:cs="仿宋"/>
          <w:color w:val="auto"/>
          <w:sz w:val="24"/>
          <w:highlight w:val="none"/>
          <w:lang w:val="zh-CN" w:eastAsia="zh-CN"/>
        </w:rPr>
        <w:t xml:space="preserve">每人2年1套</w:t>
      </w:r>
      <w:r>
        <w:rPr>
          <w:rFonts w:hint="eastAsia" w:ascii="仿宋" w:hAnsi="仿宋" w:eastAsia="仿宋" w:cs="仿宋"/>
          <w:color w:val="auto"/>
          <w:sz w:val="24"/>
          <w:highlight w:val="none"/>
          <w:lang w:val="zh-CN"/>
        </w:rPr>
        <w:t xml:space="preserve">；（2）雨衣、雨裤、雨鞋每人每年1套；（3）式样、颜色、材质符合</w:t>
      </w:r>
      <w:r>
        <w:rPr>
          <w:rFonts w:hint="eastAsia" w:ascii="仿宋" w:hAnsi="仿宋" w:eastAsia="仿宋" w:cs="仿宋"/>
          <w:color w:val="auto"/>
          <w:sz w:val="24"/>
          <w:highlight w:val="none"/>
        </w:rPr>
        <w:t xml:space="preserve">GB/T29862-2013《纺织品纤维含量的标识》等</w:t>
      </w:r>
      <w:r>
        <w:rPr>
          <w:rFonts w:hint="eastAsia" w:ascii="仿宋" w:hAnsi="仿宋" w:eastAsia="仿宋" w:cs="仿宋"/>
          <w:color w:val="auto"/>
          <w:sz w:val="24"/>
          <w:highlight w:val="none"/>
          <w:lang w:val="zh-CN"/>
        </w:rPr>
        <w:t xml:space="preserve">规定，由中标人自行采购 ；（4）其他防护用品满足作业需要。</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第十条  设备配置要求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高压清洗车：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台，其中</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8吨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台，12吨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洗扫一体车：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台，其中</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4吨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台，8吨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台，12吨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1吨小型高压冲洗车：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专用巡回捡拾车：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快速保洁车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护栏清洗车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洒水车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融雪剂撒布车：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台，雪滚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个、雪铲</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无人驾驶清扫一体车：3吨及以上</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其中配置新能源：</w:t>
      </w:r>
      <w:r>
        <w:rPr>
          <w:rFonts w:hint="eastAsia" w:ascii="仿宋" w:hAnsi="仿宋" w:eastAsia="仿宋" w:cs="仿宋"/>
          <w:color w:val="auto"/>
          <w:sz w:val="24"/>
          <w:highlight w:val="none"/>
        </w:rPr>
        <w:t xml:space="preserve">高压清洗车：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台，其中</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8吨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台，12吨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台。洗扫一体车：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台，其中</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4吨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台，8吨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台，12吨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台。1吨小型高压冲洗车：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用于替换故障车辆的备用车辆，其性能、环保标准不得低于原合同要求的主要作业车辆标准，且须在使用前向甲方书面备案，经甲方确认后方可投入使用。未备案或性能不达标的，视为未按合同约定配置车辆，适用本合同第二十二条第四款的规定处理。</w:t>
      </w:r>
      <w:r/>
    </w:p>
    <w:p>
      <w:pPr>
        <w:numPr>
          <w:ilvl w:val="0"/>
          <w:numId w:val="1"/>
        </w:num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合同价款与支付</w:t>
      </w:r>
      <w:r/>
    </w:p>
    <w:p>
      <w:pPr>
        <w:spacing w:line="360" w:lineRule="auto"/>
        <w:tabs>
          <w:tab w:val="center" w:pos="5131" w:leader="none"/>
        </w:tabs>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第十一条  </w:t>
      </w:r>
      <w:r>
        <w:rPr>
          <w:rFonts w:hint="eastAsia" w:ascii="仿宋" w:hAnsi="仿宋" w:eastAsia="仿宋" w:cs="仿宋"/>
          <w:color w:val="auto"/>
          <w:sz w:val="24"/>
          <w:highlight w:val="none"/>
          <w:lang w:val="en-US" w:eastAsia="zh-CN"/>
        </w:rPr>
        <w:t xml:space="preserve">合同价款</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本项目采购包</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合同价（即中标价）为大写：人民币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该合同价包含完成本项目所需的全部费用，包括但不限于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w:t>
      </w:r>
      <w:r>
        <w:rPr>
          <w:rFonts w:hint="eastAsia" w:ascii="仿宋" w:hAnsi="仿宋" w:eastAsia="仿宋" w:cs="仿宋"/>
          <w:color w:val="auto"/>
          <w:sz w:val="24"/>
          <w:highlight w:val="none"/>
          <w:lang w:val="en-US" w:eastAsia="zh-CN"/>
        </w:rPr>
        <w:t xml:space="preserve">甲方</w:t>
      </w:r>
      <w:r>
        <w:rPr>
          <w:rFonts w:hint="eastAsia" w:ascii="仿宋" w:hAnsi="仿宋" w:eastAsia="仿宋" w:cs="仿宋"/>
          <w:color w:val="auto"/>
          <w:sz w:val="24"/>
          <w:highlight w:val="none"/>
        </w:rPr>
        <w:t xml:space="preserve">不再支付报价以外的任何费用。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第十二条 </w:t>
      </w:r>
      <w:r>
        <w:rPr>
          <w:rFonts w:hint="eastAsia" w:ascii="仿宋" w:hAnsi="仿宋" w:eastAsia="仿宋" w:cs="仿宋"/>
          <w:color w:val="auto"/>
          <w:sz w:val="24"/>
          <w:highlight w:val="none"/>
        </w:rPr>
        <w:t xml:space="preserve">支付（采购资金的支付方式、时间、条件）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经双方协商一致，选择以下第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种付款方式：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（一）付款方式一：提交预付款保函的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合同价款的百分之四十（40%）即￥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元整，在双方签订合同，乙方向甲方出具预付款保函后15个工作日内，办理政府采购资金结算手续支付给乙方。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剩余合同价款甲方按合同期限平均分配按考核结果支付。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乙方需提交的支付文件包括：</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乙方出具的全额正式发票；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（二）付款方式二：不提交预付款保函的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（1）合同价款的百分之十（10%）即￥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（2）剩余合同价款，即¥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元整，平均分成36个月支付，即¥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w:t>
      </w:r>
      <w:r/>
    </w:p>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乙方需提交的支付文件包括：</w:t>
      </w:r>
      <w:r/>
    </w:p>
    <w:p>
      <w:pPr>
        <w:ind w:firstLine="7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乙方出具的全额正式发票；</w:t>
      </w:r>
      <w:r/>
    </w:p>
    <w:p>
      <w:pPr>
        <w:ind w:firstLine="7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保洁经费</w:t>
      </w:r>
      <w:r>
        <w:rPr>
          <w:rFonts w:hint="eastAsia" w:ascii="仿宋" w:hAnsi="仿宋" w:eastAsia="仿宋" w:cs="仿宋"/>
          <w:color w:val="auto"/>
          <w:sz w:val="24"/>
          <w:highlight w:val="none"/>
        </w:rPr>
        <w:t xml:space="preserve">由甲方按月按考核结果支付，每月月底前对当月保洁情况进行考核结果汇总，</w:t>
      </w:r>
      <w:r>
        <w:rPr>
          <w:rFonts w:hint="eastAsia" w:ascii="仿宋" w:hAnsi="仿宋" w:eastAsia="仿宋" w:cs="仿宋"/>
          <w:color w:val="auto"/>
          <w:sz w:val="24"/>
          <w:highlight w:val="none"/>
          <w:lang w:val="en-US" w:eastAsia="zh-CN"/>
        </w:rPr>
        <w:t xml:space="preserve">按</w:t>
      </w:r>
      <w:r>
        <w:rPr>
          <w:rFonts w:hint="eastAsia" w:ascii="仿宋" w:hAnsi="仿宋" w:eastAsia="仿宋" w:cs="仿宋"/>
          <w:color w:val="auto"/>
          <w:sz w:val="24"/>
          <w:highlight w:val="none"/>
        </w:rPr>
        <w:t xml:space="preserve">照考核结果</w:t>
      </w:r>
      <w:r>
        <w:rPr>
          <w:rFonts w:hint="eastAsia" w:ascii="仿宋" w:hAnsi="仿宋" w:eastAsia="仿宋" w:cs="仿宋"/>
          <w:color w:val="auto"/>
          <w:sz w:val="24"/>
          <w:highlight w:val="none"/>
          <w:lang w:eastAsia="zh-CN"/>
        </w:rPr>
        <w:t xml:space="preserve">（详见附件《</w:t>
      </w:r>
      <w:r>
        <w:rPr>
          <w:rFonts w:hint="eastAsia" w:ascii="仿宋" w:hAnsi="仿宋" w:eastAsia="仿宋" w:cs="仿宋"/>
          <w:color w:val="auto"/>
          <w:sz w:val="24"/>
          <w:highlight w:val="none"/>
          <w:lang w:val="en-US" w:eastAsia="zh-CN"/>
        </w:rPr>
        <w:t xml:space="preserve">1-3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，由甲方据实办理结算。</w:t>
      </w:r>
      <w:r>
        <w:rPr>
          <w:rFonts w:hint="eastAsia" w:ascii="仿宋" w:hAnsi="仿宋" w:eastAsia="仿宋" w:cs="仿宋"/>
          <w:color w:val="auto"/>
          <w:sz w:val="24"/>
          <w:highlight w:val="none"/>
          <w:lang w:val="en-US" w:eastAsia="zh-CN"/>
        </w:rPr>
        <w:t xml:space="preserve">每次付款前乙方应向甲方开具对应金额的发票，否则，甲方有权拒绝付款。</w:t>
      </w:r>
      <w:r/>
    </w:p>
    <w:p>
      <w:pPr>
        <w:numPr>
          <w:ilvl w:val="0"/>
          <w:numId w:val="0"/>
        </w:num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第十三条</w:t>
      </w:r>
      <w:r>
        <w:rPr>
          <w:rFonts w:hint="eastAsia" w:ascii="仿宋" w:hAnsi="仿宋" w:eastAsia="仿宋" w:cs="仿宋"/>
          <w:color w:val="auto"/>
          <w:sz w:val="24"/>
          <w:highlight w:val="none"/>
        </w:rPr>
        <w:t xml:space="preserve"> 合同期内，根据月合同价款考核结果，按月支付。</w:t>
      </w:r>
      <w:r/>
    </w:p>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月度支付金额=月合同价款-月作业经费核减-月违约责任考核扣款-月度作业质量考核扣款（见附件1）</w:t>
      </w:r>
      <w:r/>
    </w:p>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月支付金额的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%支付至环卫工人专用账户。</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w:t>
      </w:r>
      <w:r>
        <w:rPr>
          <w:rFonts w:hint="eastAsia" w:ascii="仿宋" w:hAnsi="仿宋" w:eastAsia="仿宋" w:cs="仿宋"/>
          <w:color w:val="auto"/>
          <w:sz w:val="24"/>
          <w:highlight w:val="none"/>
          <w:lang w:val="en-US" w:eastAsia="zh-CN"/>
        </w:rPr>
        <w:t xml:space="preserve">四</w:t>
      </w:r>
      <w:r>
        <w:rPr>
          <w:rFonts w:hint="eastAsia" w:ascii="仿宋" w:hAnsi="仿宋" w:eastAsia="仿宋" w:cs="仿宋"/>
          <w:color w:val="auto"/>
          <w:sz w:val="24"/>
          <w:highlight w:val="none"/>
        </w:rPr>
        <w:t xml:space="preserve">条  合同价款实行包干制。甲方不再额外支付本合同约定以外的任何费用。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rPr>
        <w:t xml:space="preserve">条  进场作业后，于次月起甲方根据检查考核结果支付乙方费用。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w:t>
      </w: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rPr>
        <w:t xml:space="preserve">条  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收款人：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开户行：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账  号：</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服务期内，徐州市政府或行业行政主管部门及以上政府或部门出台新的规定，要求提高环卫工人待遇的，乙方必须执行，资金由乙方自行承担，甲方不予补贴。</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第五节  双方的权利和义务</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w:t>
      </w:r>
      <w:r>
        <w:rPr>
          <w:rFonts w:hint="eastAsia" w:ascii="仿宋" w:hAnsi="仿宋" w:eastAsia="仿宋" w:cs="仿宋"/>
          <w:color w:val="auto"/>
          <w:sz w:val="24"/>
          <w:highlight w:val="none"/>
          <w:lang w:val="en-US" w:eastAsia="zh-CN"/>
        </w:rPr>
        <w:t xml:space="preserve">七</w:t>
      </w:r>
      <w:r>
        <w:rPr>
          <w:rFonts w:hint="eastAsia" w:ascii="仿宋" w:hAnsi="仿宋" w:eastAsia="仿宋" w:cs="仿宋"/>
          <w:color w:val="auto"/>
          <w:sz w:val="24"/>
          <w:highlight w:val="none"/>
        </w:rPr>
        <w:t xml:space="preserve">条  甲方的权利和义务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（二）各类重大活动，甲方有权要求乙方无条件保质保量按活动要求完成工作任务，如未能完成，甲方应纳入考核。</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（三）监督检查乙方对法律法规、规章和相关作业标准、行业规范的履行情况。</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（四）对乙方本项目的列支费用进行监督审查以及乙方安全设施设备安全运行情况进行检查。</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五）根据服务项目实际情况对环卫作业优化调整，乙方在合同履行期间需调整作业方案、作业工艺流程、作业时间等应事先征求甲方书面同意，经双方计算后，确定调整保洁模式及费用，调整费用不再另行追加。</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（六）对乙方的项目</w:t>
      </w:r>
      <w:r>
        <w:rPr>
          <w:rFonts w:hint="eastAsia" w:ascii="仿宋" w:hAnsi="仿宋" w:eastAsia="仿宋" w:cs="仿宋"/>
          <w:color w:val="auto"/>
          <w:sz w:val="24"/>
          <w:highlight w:val="none"/>
          <w:lang w:val="en-US" w:eastAsia="zh-CN"/>
        </w:rPr>
        <w:t xml:space="preserve">落实生活垃圾、生态环境防治等措施进行监督检查</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（七）有权要求乙方更换项目负责人及其他服务人员。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（八）定期对乙方车辆作业性能进行验收，有权要求更换达不到作业标准、不符合国家环保标准的车辆。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（九）根据相关政策和规定调整考核办法及细则，解释权归甲方所有。</w:t>
      </w:r>
      <w:r/>
    </w:p>
    <w:p>
      <w:pPr>
        <w:ind w:firstLine="482"/>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w:t>
      </w:r>
      <w:r>
        <w:rPr>
          <w:rFonts w:hint="eastAsia" w:ascii="仿宋" w:hAnsi="仿宋" w:eastAsia="仿宋" w:cs="仿宋"/>
          <w:b/>
          <w:bCs/>
          <w:color w:val="auto"/>
          <w:sz w:val="24"/>
          <w:highlight w:val="none"/>
          <w:lang w:val="en-US" w:eastAsia="zh-CN"/>
        </w:rPr>
        <w:t xml:space="preserve">八</w:t>
      </w:r>
      <w:r>
        <w:rPr>
          <w:rFonts w:hint="eastAsia" w:ascii="仿宋" w:hAnsi="仿宋" w:eastAsia="仿宋" w:cs="仿宋"/>
          <w:b/>
          <w:bCs/>
          <w:color w:val="auto"/>
          <w:sz w:val="24"/>
          <w:highlight w:val="none"/>
        </w:rPr>
        <w:t xml:space="preserve">条  乙方权利和义务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遵守法律法规、规章和相关作业标准、行业规范、遵守《中华人民共和国生态环境法典》《江苏省城市市容和环境卫生管理条例》《城市生活垃圾管理办法》等法律法规规章规定的法定义务并满足从事清扫、收集、运输服务应具备的条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（二）根据合同和投标书所作的承诺自觉开展各项保洁工作，确保承包区域内环境卫生达到合同约定的质量标准；严禁在承包范围内从事非经甲方认定或有碍甲方利益的各类业务。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（三）接受甲方、相关部门（机构）及第三方巡查评价的指导、监督、检查。</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四）根据法律法规规章、行业标准、作业规范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（五）独立承担作业人员及设备（车辆）的安全责任</w:t>
      </w:r>
      <w:r>
        <w:rPr>
          <w:rFonts w:hint="eastAsia" w:ascii="仿宋" w:hAnsi="仿宋" w:eastAsia="仿宋" w:cs="仿宋"/>
          <w:color w:val="auto"/>
          <w:sz w:val="24"/>
          <w:highlight w:val="none"/>
          <w:lang w:val="en-US" w:eastAsia="zh-CN"/>
        </w:rPr>
        <w:t xml:space="preserve">和</w:t>
      </w:r>
      <w:r>
        <w:rPr>
          <w:rFonts w:hint="eastAsia" w:ascii="仿宋" w:hAnsi="仿宋" w:eastAsia="仿宋" w:cs="仿宋"/>
          <w:color w:val="auto"/>
          <w:sz w:val="24"/>
          <w:highlight w:val="none"/>
        </w:rPr>
        <w:t xml:space="preserve">用人</w:t>
      </w:r>
      <w:r>
        <w:rPr>
          <w:rFonts w:hint="eastAsia" w:ascii="仿宋" w:hAnsi="仿宋" w:eastAsia="仿宋" w:cs="仿宋"/>
          <w:color w:val="auto"/>
          <w:sz w:val="24"/>
          <w:highlight w:val="none"/>
          <w:lang w:val="en-US" w:eastAsia="zh-CN"/>
        </w:rPr>
        <w:t xml:space="preserve">用工主体</w:t>
      </w:r>
      <w:r>
        <w:rPr>
          <w:rFonts w:hint="eastAsia" w:ascii="仿宋" w:hAnsi="仿宋" w:eastAsia="仿宋" w:cs="仿宋"/>
          <w:color w:val="auto"/>
          <w:sz w:val="24"/>
          <w:highlight w:val="none"/>
        </w:rPr>
        <w:t xml:space="preserve">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（六）在任何情况下（灾害天气或重大活动期间）乙方应服从甲方的要求和安排，做好环卫各项应急保障工作。</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（七）按照相关要求和标准建立每日自查制度，完善各项台账资料。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（八）对徐州市政府12345服务热线、城市管理运行中心派单、媒体曝光、信访来电等有责投诉必须按规定进行整改，并将整改结果报送甲方。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（九）乙方的工作人员在岗履行职责期间（包括上下班途中），发生的人身、财产损害及造成第三人损害的法律责任均由乙方负责处理并承担法律、经济和人道主义方面的责任，甲方不承担任何责任。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（十）必须将所投入本项目的设备（车辆）行驶证及机动车登记证书复印件交甲方备案，设备（车辆）只能在本项目专用，未经甲方书面同意不得用于其他项目。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（十一）负责项目内环卫设施管理和维护，如有遗失、损坏由乙方承担赔偿责任。未经甲方书面同意不得迁移垃圾收集设施。</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（十二）积极按甲方要求参加相关会议和各类培训。</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（十三）必须对乙方员工进行安全生产、职业技能等培训，教育乙方人员严格遵守国家法律法规、环卫作业及安全操作规程。作业人员应经专业培训后方可上岗作业。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（十四）接受政府相关部门的财务审核，提供真实有效资料。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（十五）按照《中华人民共和国劳动合同法》</w:t>
      </w:r>
      <w:r>
        <w:rPr>
          <w:rFonts w:hint="eastAsia" w:ascii="仿宋" w:hAnsi="仿宋" w:eastAsia="仿宋" w:cs="仿宋"/>
          <w:color w:val="auto"/>
          <w:sz w:val="24"/>
          <w:highlight w:val="none"/>
          <w:lang w:val="en-US" w:eastAsia="zh-CN"/>
        </w:rPr>
        <w:t xml:space="preserve">等法律法规规章和政策依法用人</w:t>
      </w:r>
      <w:r>
        <w:rPr>
          <w:rFonts w:hint="eastAsia" w:ascii="仿宋" w:hAnsi="仿宋" w:eastAsia="仿宋" w:cs="仿宋"/>
          <w:color w:val="auto"/>
          <w:sz w:val="24"/>
          <w:highlight w:val="none"/>
        </w:rPr>
        <w:t xml:space="preserve">用工，按月足额发放人员工资：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1.一线环卫工人基本工资按照不低于徐州市最低工资标准的110%确定；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2.按标准发放高温津贴；</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3.保证环卫工人休息，延长工作时间、节假日的工资应按相关法律规定执行；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甲方、乙方、银行）协议。专用账户开立后30日内，需报甲方备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5.合同履行期内遇政策调整，要求提高环卫工人待遇的，乙方必须于政策调整执行日期起执行，甲方不予追加任何费用；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6.环卫工人工作日、休息日按照劳动合同法等法律法规、规章和政策执行。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（十六）按照法律法规规定为环卫工人依法缴纳（存）包括但不限于社会保险等法律法规规章和政策规定的一切费用，并另行为环卫工人缴纳商业保险。</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（十七）自觉接受甲方及其上级行政主管部门、劳动监察（人社）部门的管理、监督和检查，根据需要提供相关的检查文件和资料，以及做必要的解释和说明，乙方不得阻挠检查人员的检查工作。</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（十八）</w:t>
      </w:r>
      <w:r>
        <w:rPr>
          <w:rFonts w:hint="eastAsia" w:ascii="仿宋" w:hAnsi="仿宋" w:eastAsia="仿宋" w:cs="仿宋"/>
          <w:color w:val="auto"/>
          <w:sz w:val="24"/>
          <w:highlight w:val="none"/>
          <w:lang w:bidi="ar"/>
        </w:rPr>
        <w:t xml:space="preserve">乙方须严格按照甲方提供的技术参数，配齐环卫信息系统相关设备，并自行承担设备安装、后期运维等全部相关费用。</w:t>
      </w:r>
      <w:r>
        <w:rPr>
          <w:rFonts w:hint="eastAsia" w:ascii="仿宋" w:hAnsi="仿宋" w:eastAsia="仿宋" w:cs="仿宋"/>
          <w:color w:val="auto"/>
          <w:sz w:val="24"/>
          <w:highlight w:val="none"/>
        </w:rPr>
        <w:t xml:space="preserve">其中人员监管能够实时获取人员信息位置、应急救助、实时通话等功能。</w:t>
      </w:r>
      <w:r>
        <w:rPr>
          <w:rFonts w:hint="eastAsia" w:ascii="仿宋" w:hAnsi="仿宋" w:eastAsia="仿宋" w:cs="仿宋"/>
          <w:color w:val="auto"/>
          <w:sz w:val="24"/>
          <w:highlight w:val="none"/>
          <w:lang w:bidi="ar"/>
        </w:rPr>
        <w:t xml:space="preserve">车辆监管系统可实时采集环卫车辆位置信息、视频影像、行驶轨迹、作业状态等相关作业数据。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九）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（二十）按照相关法律法规规章和行业标准、规范要求，规范污水等其他废弃物排放、处理。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一）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p>
    <w:p>
      <w:pPr>
        <w:pStyle w:val="966"/>
        <w:ind w:left="0" w:right="11" w:firstLine="480"/>
        <w:jc w:val="left"/>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（二十二）公厕管理间、工具间严禁使用明火、燃气及大功率电器；严禁违规住人、留宿过夜，因违规使用造成安全事故由乙方自行承担。</w:t>
      </w:r>
      <w:r/>
    </w:p>
    <w:p>
      <w:pPr>
        <w:pStyle w:val="966"/>
        <w:ind w:left="0" w:right="11"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w:t>
      </w:r>
      <w:r>
        <w:rPr>
          <w:rFonts w:hint="eastAsia" w:ascii="仿宋" w:hAnsi="仿宋" w:eastAsia="仿宋" w:cs="仿宋"/>
          <w:color w:val="auto"/>
          <w:sz w:val="24"/>
          <w:highlight w:val="none"/>
          <w:lang w:val="en-US" w:eastAsia="zh-CN"/>
        </w:rPr>
        <w:t xml:space="preserve">三</w:t>
      </w:r>
      <w:r>
        <w:rPr>
          <w:rFonts w:hint="eastAsia" w:ascii="仿宋" w:hAnsi="仿宋" w:eastAsia="仿宋" w:cs="仿宋"/>
          <w:color w:val="auto"/>
          <w:sz w:val="24"/>
          <w:highlight w:val="none"/>
        </w:rPr>
        <w:t xml:space="preserve">）未经甲方书面批准，乙方不得将投入本项目的设备（车辆）用于其他项目。</w:t>
      </w:r>
      <w:r/>
    </w:p>
    <w:p>
      <w:pPr>
        <w:pStyle w:val="966"/>
        <w:ind w:left="0" w:right="11"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（二十四）乙方应全面落实法律法规规定的相关生活垃圾及环境污染防治的相关要求。</w:t>
      </w:r>
      <w:r/>
    </w:p>
    <w:p>
      <w:pPr>
        <w:jc w:val="center"/>
        <w:spacing w:line="360" w:lineRule="auto"/>
        <w:tabs>
          <w:tab w:val="center" w:pos="5131" w:leader="none"/>
        </w:tabs>
        <w:rPr>
          <w:rFonts w:ascii="仿宋" w:hAnsi="仿宋" w:eastAsia="仿宋" w:cs="仿宋"/>
          <w:b/>
          <w:bCs/>
          <w:color w:val="auto"/>
          <w:sz w:val="24"/>
          <w:highlight w:val="none"/>
        </w:rPr>
      </w:pPr>
      <w:r>
        <w:rPr>
          <w:rFonts w:ascii="仿宋" w:hAnsi="仿宋" w:eastAsia="仿宋" w:cs="仿宋"/>
          <w:b/>
          <w:bCs/>
          <w:color w:val="auto"/>
          <w:sz w:val="24"/>
          <w:highlight w:val="none"/>
        </w:rPr>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第六节  不间断服务约定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w:t>
      </w:r>
      <w:r>
        <w:rPr>
          <w:rFonts w:hint="eastAsia" w:ascii="仿宋" w:hAnsi="仿宋" w:eastAsia="仿宋" w:cs="仿宋"/>
          <w:color w:val="auto"/>
          <w:sz w:val="24"/>
          <w:highlight w:val="none"/>
          <w:lang w:val="en-US" w:eastAsia="zh-CN"/>
        </w:rPr>
        <w:t xml:space="preserve">九</w:t>
      </w:r>
      <w:r>
        <w:rPr>
          <w:rFonts w:hint="eastAsia" w:ascii="仿宋" w:hAnsi="仿宋" w:eastAsia="仿宋" w:cs="仿宋"/>
          <w:color w:val="auto"/>
          <w:sz w:val="24"/>
          <w:highlight w:val="none"/>
        </w:rPr>
        <w:t xml:space="preserve">条  乙方不得因法定代表人变更、企业经营不善或其他管理失缺而影响服务质量；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w:t>
      </w:r>
      <w:r>
        <w:rPr>
          <w:rFonts w:hint="eastAsia" w:ascii="仿宋" w:hAnsi="仿宋" w:eastAsia="仿宋" w:cs="仿宋"/>
          <w:color w:val="auto"/>
          <w:sz w:val="24"/>
          <w:highlight w:val="none"/>
          <w:lang w:val="en-US" w:eastAsia="zh-CN"/>
        </w:rPr>
        <w:t xml:space="preserve">二十</w:t>
      </w:r>
      <w:r>
        <w:rPr>
          <w:rFonts w:hint="eastAsia" w:ascii="仿宋" w:hAnsi="仿宋" w:eastAsia="仿宋" w:cs="仿宋"/>
          <w:color w:val="auto"/>
          <w:sz w:val="24"/>
          <w:highlight w:val="none"/>
        </w:rPr>
        <w:t xml:space="preserve">条  乙方应保证其所服务项目的人员数量符合合同约定和投标文件承诺。乙方使用无人设备替代人工的，须事先报甲方书面批准。经批准的，可相应核减作业人员数量；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一</w:t>
      </w:r>
      <w:r>
        <w:rPr>
          <w:rFonts w:hint="eastAsia" w:ascii="仿宋" w:hAnsi="仿宋" w:eastAsia="仿宋" w:cs="仿宋"/>
          <w:color w:val="auto"/>
          <w:sz w:val="24"/>
          <w:highlight w:val="none"/>
        </w:rPr>
        <w:t xml:space="preserve">条  乙方在任何情况下都必须保证其所服务项目的车辆、设备数量及运行状态符合合同约定。</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第七节  项目接管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二</w:t>
      </w:r>
      <w:r>
        <w:rPr>
          <w:rFonts w:hint="eastAsia" w:ascii="仿宋" w:hAnsi="仿宋" w:eastAsia="仿宋" w:cs="仿宋"/>
          <w:color w:val="auto"/>
          <w:sz w:val="24"/>
          <w:highlight w:val="none"/>
        </w:rPr>
        <w:t xml:space="preserve">条  甲方有权在下列情形下接管乙方项目：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（一）因乙方经营管理不善，发生重大质量、生产安全事故的；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（二）乙方擅自停业、歇业的；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（三）乙方作业过程中造成重大环境污染的；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（四）其他重大、紧急可能危及公共安全行为的。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rPr>
        <w:t xml:space="preserve">）其他重大、紧急可能</w:t>
      </w:r>
      <w:r>
        <w:rPr>
          <w:rFonts w:hint="eastAsia" w:ascii="仿宋" w:hAnsi="仿宋" w:eastAsia="仿宋" w:cs="仿宋"/>
          <w:color w:val="auto"/>
          <w:sz w:val="24"/>
          <w:highlight w:val="none"/>
          <w:lang w:eastAsia="zh-CN"/>
        </w:rPr>
        <w:t xml:space="preserve">危及</w:t>
      </w:r>
      <w:r>
        <w:rPr>
          <w:rFonts w:hint="eastAsia" w:ascii="仿宋" w:hAnsi="仿宋" w:eastAsia="仿宋" w:cs="仿宋"/>
          <w:color w:val="auto"/>
          <w:sz w:val="24"/>
          <w:highlight w:val="none"/>
        </w:rPr>
        <w:t xml:space="preserve">公共安全行为的。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乙方必须对其过错承担责任，包括经济赔偿责任、违约责任，事故处理后是否恢复履行合同由甲方决定。</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第八节  违约责任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第二十二条  合同一方不履行合同义务或违反履行合同义务约定的，应当承担继续履行、采取补救措施或者赔偿损失等违约责任。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1.乙方应按招标文件要求配备环卫作业人员，所有人员不得跨标段兼职（串用、共用），每发现1人，扣除2000元/每人次违约金，违约金从当月合同价款中予以扣除。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2.实际出勤人员缺员未报备的，每发现1起，扣除1000元违约金，之后以每人每天2000元从当月合同价款中扣除，直到人员补齐为止。</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3.乙方因自身责任被投诉，或因劳资纠纷引发环卫作业人员投诉、信访的，扣除</w:t>
      </w:r>
      <w:r>
        <w:rPr>
          <w:rStyle w:val="950"/>
          <w:rFonts w:hint="eastAsia" w:ascii="仿宋" w:hAnsi="仿宋" w:eastAsia="仿宋" w:cs="仿宋"/>
          <w:bCs/>
          <w:color w:val="auto"/>
          <w:sz w:val="24"/>
          <w:highlight w:val="none"/>
        </w:rPr>
        <w:t xml:space="preserve">2000 元/人次违约金</w:t>
      </w:r>
      <w:r>
        <w:rPr>
          <w:rFonts w:hint="eastAsia" w:ascii="仿宋" w:hAnsi="仿宋" w:eastAsia="仿宋" w:cs="仿宋"/>
          <w:color w:val="auto"/>
          <w:sz w:val="24"/>
          <w:highlight w:val="none"/>
        </w:rPr>
        <w:t xml:space="preserve">，违约金从当月合同价款中予以扣除。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4.乙方承诺在签订合同之日起一个月内，按照投标承诺和履行该标段（采购包）义务配置所需车辆。</w:t>
      </w:r>
      <w:r>
        <w:rPr>
          <w:rFonts w:hint="eastAsia" w:ascii="仿宋" w:hAnsi="仿宋" w:eastAsia="仿宋" w:cs="仿宋"/>
          <w:color w:val="auto"/>
          <w:sz w:val="24"/>
          <w:highlight w:val="none"/>
          <w:lang w:eastAsia="zh-CN"/>
        </w:rPr>
        <w:t xml:space="preserve">如乙方未按照承诺将视为违约，按照50000元/辆·次违约金</w:t>
      </w:r>
      <w:r>
        <w:rPr>
          <w:rFonts w:hint="eastAsia" w:ascii="仿宋" w:hAnsi="仿宋" w:eastAsia="仿宋" w:cs="仿宋"/>
          <w:color w:val="auto"/>
          <w:sz w:val="24"/>
          <w:highlight w:val="none"/>
          <w:lang w:val="en-US" w:eastAsia="zh-CN"/>
        </w:rPr>
        <w:t xml:space="preserve">从当月合同价款中扣除</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车辆用于其他项目的，或车辆</w:t>
      </w:r>
      <w:r>
        <w:rPr>
          <w:rFonts w:hint="eastAsia" w:ascii="仿宋" w:hAnsi="仿宋" w:eastAsia="仿宋" w:cs="仿宋"/>
          <w:color w:val="auto"/>
          <w:sz w:val="24"/>
          <w:highlight w:val="none"/>
          <w:lang w:val="en-US" w:eastAsia="zh-CN"/>
        </w:rPr>
        <w:t xml:space="preserve">配置不符合约定</w:t>
      </w:r>
      <w:r>
        <w:rPr>
          <w:rFonts w:hint="eastAsia" w:ascii="仿宋" w:hAnsi="仿宋" w:eastAsia="仿宋" w:cs="仿宋"/>
          <w:color w:val="auto"/>
          <w:sz w:val="24"/>
          <w:highlight w:val="none"/>
        </w:rPr>
        <w:t xml:space="preserve">的，或未经</w:t>
      </w:r>
      <w:r>
        <w:rPr>
          <w:rFonts w:hint="eastAsia" w:ascii="仿宋" w:hAnsi="仿宋" w:eastAsia="仿宋" w:cs="仿宋"/>
          <w:color w:val="auto"/>
          <w:sz w:val="24"/>
          <w:highlight w:val="none"/>
          <w:lang w:val="en-US" w:eastAsia="zh-CN"/>
        </w:rPr>
        <w:t xml:space="preserve">甲方书面</w:t>
      </w:r>
      <w:r>
        <w:rPr>
          <w:rFonts w:hint="eastAsia" w:ascii="仿宋" w:hAnsi="仿宋" w:eastAsia="仿宋" w:cs="仿宋"/>
          <w:color w:val="auto"/>
          <w:sz w:val="24"/>
          <w:highlight w:val="none"/>
        </w:rPr>
        <w:t xml:space="preserve">同意更换车辆的，视为违约，</w:t>
      </w:r>
      <w:r>
        <w:rPr>
          <w:rFonts w:hint="eastAsia" w:ascii="仿宋" w:hAnsi="仿宋" w:eastAsia="仿宋" w:cs="仿宋"/>
          <w:color w:val="auto"/>
          <w:sz w:val="24"/>
          <w:highlight w:val="none"/>
          <w:lang w:eastAsia="zh-CN"/>
        </w:rPr>
        <w:t xml:space="preserve">按照50000元/辆·次违约金</w:t>
      </w:r>
      <w:r>
        <w:rPr>
          <w:rFonts w:hint="eastAsia" w:ascii="仿宋" w:hAnsi="仿宋" w:eastAsia="仿宋" w:cs="仿宋"/>
          <w:color w:val="auto"/>
          <w:sz w:val="24"/>
          <w:highlight w:val="none"/>
          <w:lang w:val="en-US" w:eastAsia="zh-CN"/>
        </w:rPr>
        <w:t xml:space="preserve">从当月合同价款中扣除</w:t>
      </w:r>
      <w:r>
        <w:rPr>
          <w:rFonts w:hint="eastAsia" w:ascii="仿宋" w:hAnsi="仿宋" w:eastAsia="仿宋" w:cs="仿宋"/>
          <w:color w:val="auto"/>
          <w:sz w:val="24"/>
          <w:highlight w:val="none"/>
        </w:rPr>
        <w:t xml:space="preserve">。若出现三次（含）以上该违约现象，则双倍支付违约金。若维修超过时间且未更换新车使用将视为违约，</w:t>
      </w:r>
      <w:r>
        <w:rPr>
          <w:rFonts w:hint="eastAsia" w:ascii="仿宋" w:hAnsi="仿宋" w:eastAsia="仿宋" w:cs="仿宋"/>
          <w:color w:val="auto"/>
          <w:sz w:val="24"/>
          <w:highlight w:val="none"/>
          <w:lang w:eastAsia="zh-CN"/>
        </w:rPr>
        <w:t xml:space="preserve">按照</w:t>
      </w:r>
      <w:r>
        <w:rPr>
          <w:rFonts w:hint="eastAsia" w:ascii="仿宋" w:hAnsi="仿宋" w:eastAsia="仿宋" w:cs="仿宋"/>
          <w:color w:val="auto"/>
          <w:sz w:val="24"/>
          <w:highlight w:val="none"/>
        </w:rPr>
        <w:t xml:space="preserve">10000元/辆·次违约金</w:t>
      </w:r>
      <w:r>
        <w:rPr>
          <w:rFonts w:hint="eastAsia" w:ascii="仿宋" w:hAnsi="仿宋" w:eastAsia="仿宋" w:cs="仿宋"/>
          <w:color w:val="auto"/>
          <w:sz w:val="24"/>
          <w:highlight w:val="none"/>
          <w:lang w:val="en-US" w:eastAsia="zh-CN"/>
        </w:rPr>
        <w:t xml:space="preserve">从当月合同价款中扣除</w:t>
      </w:r>
      <w:r>
        <w:rPr>
          <w:rFonts w:hint="eastAsia" w:ascii="仿宋" w:hAnsi="仿宋" w:eastAsia="仿宋" w:cs="仿宋"/>
          <w:color w:val="auto"/>
          <w:sz w:val="24"/>
          <w:highlight w:val="none"/>
        </w:rPr>
        <w:t xml:space="preserve">。若出现三次（含）以上该违约现象，则双倍支付违约金。</w:t>
      </w:r>
      <w:r/>
    </w:p>
    <w:p>
      <w:pPr>
        <w:ind w:firstLine="240"/>
        <w:spacing w:line="360" w:lineRule="auto"/>
        <w:rPr>
          <w:rStyle w:val="950"/>
          <w:rFonts w:hint="eastAsia" w:ascii="仿宋" w:hAnsi="仿宋" w:eastAsia="仿宋" w:cs="仿宋"/>
          <w:b w:val="0"/>
          <w:color w:val="auto"/>
          <w:sz w:val="24"/>
          <w:highlight w:val="none"/>
        </w:rPr>
      </w:pPr>
      <w:r>
        <w:rPr>
          <w:rFonts w:hint="eastAsia" w:ascii="仿宋" w:hAnsi="仿宋" w:eastAsia="仿宋" w:cs="仿宋"/>
          <w:color w:val="auto"/>
          <w:sz w:val="24"/>
          <w:highlight w:val="none"/>
        </w:rPr>
        <w:t xml:space="preserve">5.</w:t>
      </w:r>
      <w:r>
        <w:rPr>
          <w:rStyle w:val="950"/>
          <w:rFonts w:hint="eastAsia" w:ascii="仿宋" w:hAnsi="仿宋" w:eastAsia="仿宋" w:cs="仿宋"/>
          <w:b w:val="0"/>
          <w:color w:val="auto"/>
          <w:sz w:val="24"/>
          <w:highlight w:val="none"/>
        </w:rPr>
        <w:t xml:space="preserve">乙方履行本合同义务不符合法律、法规、规章规定，</w:t>
      </w:r>
      <w:r>
        <w:rPr>
          <w:rStyle w:val="950"/>
          <w:rFonts w:hint="eastAsia" w:ascii="仿宋" w:hAnsi="仿宋" w:eastAsia="仿宋" w:cs="仿宋"/>
          <w:b w:val="0"/>
          <w:color w:val="auto"/>
          <w:sz w:val="24"/>
          <w:highlight w:val="none"/>
          <w:lang w:val="en-US" w:eastAsia="zh-CN"/>
        </w:rPr>
        <w:t xml:space="preserve">履行合同不符合约定，</w:t>
      </w:r>
      <w:r>
        <w:rPr>
          <w:rStyle w:val="950"/>
          <w:rFonts w:hint="eastAsia" w:ascii="仿宋" w:hAnsi="仿宋" w:eastAsia="仿宋" w:cs="仿宋"/>
          <w:b w:val="0"/>
          <w:color w:val="auto"/>
          <w:sz w:val="24"/>
          <w:highlight w:val="none"/>
        </w:rPr>
        <w:t xml:space="preserve">每次10000元违约金</w:t>
      </w:r>
      <w:r>
        <w:rPr>
          <w:rStyle w:val="950"/>
          <w:rFonts w:hint="eastAsia" w:ascii="仿宋" w:hAnsi="仿宋" w:eastAsia="仿宋" w:cs="仿宋"/>
          <w:b w:val="0"/>
          <w:color w:val="auto"/>
          <w:sz w:val="24"/>
          <w:highlight w:val="none"/>
          <w:lang w:val="en-US" w:eastAsia="zh-CN"/>
        </w:rPr>
        <w:t xml:space="preserve">从当月合同价款中扣除</w:t>
      </w:r>
      <w:r>
        <w:rPr>
          <w:rStyle w:val="950"/>
          <w:rFonts w:hint="eastAsia" w:ascii="仿宋" w:hAnsi="仿宋" w:eastAsia="仿宋" w:cs="仿宋"/>
          <w:b w:val="0"/>
          <w:color w:val="auto"/>
          <w:sz w:val="24"/>
          <w:highlight w:val="none"/>
        </w:rPr>
        <w:t xml:space="preserve">。不执行重大活动保障及应急处置指令，不服从全市统一调度指挥的，每次50000元违约金</w:t>
      </w:r>
      <w:r>
        <w:rPr>
          <w:rStyle w:val="950"/>
          <w:rFonts w:hint="eastAsia" w:ascii="仿宋" w:hAnsi="仿宋" w:eastAsia="仿宋" w:cs="仿宋"/>
          <w:b w:val="0"/>
          <w:color w:val="auto"/>
          <w:sz w:val="24"/>
          <w:highlight w:val="none"/>
          <w:lang w:val="en-US" w:eastAsia="zh-CN"/>
        </w:rPr>
        <w:t xml:space="preserve">从当月合同价款中扣除</w:t>
      </w:r>
      <w:r>
        <w:rPr>
          <w:rStyle w:val="950"/>
          <w:rFonts w:hint="eastAsia" w:ascii="仿宋" w:hAnsi="仿宋" w:eastAsia="仿宋" w:cs="仿宋"/>
          <w:b w:val="0"/>
          <w:color w:val="auto"/>
          <w:sz w:val="24"/>
          <w:highlight w:val="none"/>
        </w:rPr>
        <w:t xml:space="preserve">。</w:t>
      </w:r>
      <w:r/>
    </w:p>
    <w:p>
      <w:pPr>
        <w:ind w:firstLine="24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 乙方未经批准擅自将本项目车辆用于其他项目的，按照每车每次50000元支付违约金。</w:t>
      </w:r>
      <w:r/>
    </w:p>
    <w:p>
      <w:pPr>
        <w:ind w:firstLine="24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US" w:eastAsia="zh-CN"/>
        </w:rPr>
        <w:t xml:space="preserve">乙方未按合同约定开立环卫工人工资专用账户、签订三方协议或报甲方备案的，甲方有权按每日2000元扣除违约金，直至乙方履行完毕为止。逾期超过15日的，甲方有权单方解除合同。</w:t>
      </w:r>
      <w:r/>
    </w:p>
    <w:p>
      <w:pPr>
        <w:ind w:firstLine="24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8.甲方根据本合同约定从应付合同价款中直接扣除违约金的，无需征得乙方同意，但应在扣款后3个工作日内书面通知乙方并说明理由。</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第九节   不可抗力</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四</w:t>
      </w:r>
      <w:r>
        <w:rPr>
          <w:rFonts w:hint="eastAsia" w:ascii="仿宋" w:hAnsi="仿宋" w:eastAsia="仿宋" w:cs="仿宋"/>
          <w:color w:val="auto"/>
          <w:sz w:val="24"/>
          <w:highlight w:val="none"/>
        </w:rPr>
        <w:t xml:space="preserve">条  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rPr>
        <w:t xml:space="preserve">条  合同一方因不可抗力不能履行合同的，应当及时通知对方，以减轻可能给对方造成损失，并应当在合理期限内提供证明。  </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第十节  合同的解除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rPr>
        <w:t xml:space="preserve">条  甲方和乙方经协商一致并达成书面协议，可以解除合同。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如履行合同期间乙方中途退场需提前2个月以书面形式通知甲方，按合同总金额的20%支付违约金。</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七</w:t>
      </w:r>
      <w:r>
        <w:rPr>
          <w:rFonts w:hint="eastAsia" w:ascii="仿宋" w:hAnsi="仿宋" w:eastAsia="仿宋" w:cs="仿宋"/>
          <w:color w:val="auto"/>
          <w:sz w:val="24"/>
          <w:highlight w:val="none"/>
        </w:rPr>
        <w:t xml:space="preserve">条  有下列情况之一，合同方可以解除合同：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（一）因不可抗力致使不能实现合同目的，未受不可抗力影响的一方有权解除合同；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（二）因合同一方违约导致合同不能履行，另一方有权解除合同。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（三）乙方有下列情形之一，甲方有权解除合同，并按合同金额的10%向甲方支付违约金，给甲方造成损失的，乙方还应赔偿全部损失：</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连续</w:t>
      </w:r>
      <w:r>
        <w:rPr>
          <w:rFonts w:hint="eastAsia" w:ascii="仿宋" w:hAnsi="仿宋" w:eastAsia="仿宋" w:cs="仿宋"/>
          <w:color w:val="auto"/>
          <w:sz w:val="24"/>
          <w:highlight w:val="none"/>
        </w:rPr>
        <w:t xml:space="preserve">3个月得分低于8</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累计3次</w:t>
      </w:r>
      <w:r>
        <w:rPr>
          <w:rFonts w:hint="eastAsia" w:ascii="仿宋" w:hAnsi="仿宋" w:eastAsia="仿宋" w:cs="仿宋"/>
          <w:color w:val="auto"/>
          <w:sz w:val="24"/>
          <w:highlight w:val="none"/>
          <w:lang w:eastAsia="zh-CN"/>
        </w:rPr>
        <w:t xml:space="preserve">（含）</w:t>
      </w:r>
      <w:r>
        <w:rPr>
          <w:rFonts w:hint="eastAsia" w:ascii="仿宋" w:hAnsi="仿宋" w:eastAsia="仿宋" w:cs="仿宋"/>
          <w:color w:val="auto"/>
          <w:sz w:val="24"/>
          <w:highlight w:val="none"/>
        </w:rPr>
        <w:t xml:space="preserve">以上受到甲方或城管部门书面通报批评的。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3.作业质量</w:t>
      </w:r>
      <w:r>
        <w:rPr>
          <w:rFonts w:hint="eastAsia" w:ascii="仿宋" w:hAnsi="仿宋" w:eastAsia="仿宋" w:cs="仿宋"/>
          <w:color w:val="auto"/>
          <w:sz w:val="24"/>
          <w:highlight w:val="none"/>
        </w:rPr>
        <w:t xml:space="preserve">不符合项目要求，新闻媒体曝光及群众投诉造成重大影响的或受到上级部门书面通报的，经查属实且有责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次</w:t>
      </w:r>
      <w:r>
        <w:rPr>
          <w:rFonts w:hint="eastAsia" w:ascii="仿宋" w:hAnsi="仿宋" w:eastAsia="仿宋" w:cs="仿宋"/>
          <w:color w:val="auto"/>
          <w:sz w:val="24"/>
          <w:highlight w:val="none"/>
          <w:lang w:eastAsia="zh-CN"/>
        </w:rPr>
        <w:t xml:space="preserve">（含）</w:t>
      </w:r>
      <w:r>
        <w:rPr>
          <w:rFonts w:hint="eastAsia" w:ascii="仿宋" w:hAnsi="仿宋" w:eastAsia="仿宋" w:cs="仿宋"/>
          <w:color w:val="auto"/>
          <w:sz w:val="24"/>
          <w:highlight w:val="none"/>
        </w:rPr>
        <w:t xml:space="preserve">以上；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突发事件（如灾害性天气）或重大活动期间，无故不执行指令性任务或未按相关要求、标准完成任务，达</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次</w:t>
      </w:r>
      <w:r>
        <w:rPr>
          <w:rFonts w:hint="eastAsia" w:ascii="仿宋" w:hAnsi="仿宋" w:eastAsia="仿宋" w:cs="仿宋"/>
          <w:color w:val="auto"/>
          <w:sz w:val="24"/>
          <w:highlight w:val="none"/>
          <w:lang w:eastAsia="zh-CN"/>
        </w:rPr>
        <w:t xml:space="preserve">（含）</w:t>
      </w:r>
      <w:r>
        <w:rPr>
          <w:rFonts w:hint="eastAsia" w:ascii="仿宋" w:hAnsi="仿宋" w:eastAsia="仿宋" w:cs="仿宋"/>
          <w:color w:val="auto"/>
          <w:sz w:val="24"/>
          <w:highlight w:val="none"/>
        </w:rPr>
        <w:t xml:space="preserve">以上；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5.乙方</w:t>
      </w:r>
      <w:r>
        <w:rPr>
          <w:rFonts w:hint="eastAsia" w:ascii="仿宋" w:hAnsi="仿宋" w:eastAsia="仿宋" w:cs="仿宋"/>
          <w:color w:val="auto"/>
          <w:sz w:val="24"/>
          <w:highlight w:val="none"/>
        </w:rPr>
        <w:t xml:space="preserve">发生重大安全事故，</w:t>
      </w:r>
      <w:r>
        <w:rPr>
          <w:rFonts w:hint="eastAsia" w:ascii="仿宋" w:hAnsi="仿宋" w:eastAsia="仿宋" w:cs="仿宋"/>
          <w:color w:val="auto"/>
          <w:sz w:val="24"/>
          <w:highlight w:val="none"/>
          <w:lang w:val="en-US" w:eastAsia="zh-CN"/>
        </w:rPr>
        <w:t xml:space="preserve">且未及时采取有效措施积极处置，造成上访投诉等负面影响的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擅自停业、歇业，影响社会公共利益和安全的；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乙方未按规定发放环卫工人工资、津贴</w:t>
      </w:r>
      <w:r>
        <w:rPr>
          <w:rFonts w:hint="eastAsia" w:ascii="仿宋" w:hAnsi="仿宋" w:eastAsia="仿宋" w:cs="仿宋"/>
          <w:color w:val="auto"/>
          <w:sz w:val="24"/>
          <w:highlight w:val="none"/>
          <w:lang w:val="en-US" w:eastAsia="zh-CN"/>
        </w:rPr>
        <w:t xml:space="preserve">导致</w:t>
      </w:r>
      <w:r>
        <w:rPr>
          <w:rFonts w:hint="eastAsia" w:ascii="仿宋" w:hAnsi="仿宋" w:eastAsia="仿宋" w:cs="仿宋"/>
          <w:color w:val="auto"/>
          <w:sz w:val="24"/>
          <w:highlight w:val="none"/>
        </w:rPr>
        <w:t xml:space="preserve">发生群体性信访投诉等，被甲方或城管部门</w:t>
      </w:r>
      <w:r>
        <w:rPr>
          <w:rFonts w:hint="eastAsia" w:ascii="仿宋" w:hAnsi="仿宋" w:eastAsia="仿宋" w:cs="仿宋"/>
          <w:color w:val="auto"/>
          <w:sz w:val="24"/>
          <w:highlight w:val="none"/>
          <w:lang w:val="en-US" w:eastAsia="zh-CN"/>
        </w:rPr>
        <w:t xml:space="preserve">书面</w:t>
      </w:r>
      <w:r>
        <w:rPr>
          <w:rFonts w:hint="eastAsia" w:ascii="仿宋" w:hAnsi="仿宋" w:eastAsia="仿宋" w:cs="仿宋"/>
          <w:color w:val="auto"/>
          <w:sz w:val="24"/>
          <w:highlight w:val="none"/>
        </w:rPr>
        <w:t xml:space="preserve">通报3次（含）以上的；</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8.将本项目转包、分包，或者以挂靠、借用资质等方式交由第三方实际提供服务的；</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9.因乙方自身经营状况恶化、破产、解散、被吊销营业执照，甲方接管项目等情形，导致无法继续履行合同的；</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10.乙方或其工作人员在履行合同过程中，因未履行合同义务或违反法律法规规定，造成第三方人身损害或财产损失，由乙方承担侵权责任的；</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11.乙方违反安全操作规程，发生安全生产事故，造成人员伤亡或重大财产损失的；</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 乙方违反《城市生活垃圾管理办法》中禁止性性规定，被城管部门处以行政处罚的；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乙方违反其在投标文件中作出的《投标人对“作业人员配备要求”的承诺》、《投标人对“设备、车辆配备要求”的承诺》、《投标人对“中标后在徐州设立固定的办公场所（非住宅小区类）”的承诺》、《投标人对“中标后提供满足项目车辆停放需求、符合相关规范要求的停车场”的承诺》、《按时足额发放工人工资的承诺书》、《安全承诺责任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14.法律、法规规定的其他违约情形或严重违反第十</w:t>
      </w:r>
      <w:r>
        <w:rPr>
          <w:rFonts w:hint="eastAsia" w:ascii="仿宋" w:hAnsi="仿宋" w:eastAsia="仿宋" w:cs="仿宋"/>
          <w:color w:val="auto"/>
          <w:sz w:val="24"/>
          <w:highlight w:val="none"/>
          <w:lang w:val="en-US" w:eastAsia="zh-CN"/>
        </w:rPr>
        <w:t xml:space="preserve">八</w:t>
      </w:r>
      <w:r>
        <w:rPr>
          <w:rFonts w:hint="eastAsia" w:ascii="仿宋" w:hAnsi="仿宋" w:eastAsia="仿宋" w:cs="仿宋"/>
          <w:color w:val="auto"/>
          <w:sz w:val="24"/>
          <w:highlight w:val="none"/>
        </w:rPr>
        <w:t xml:space="preserve">条所列的乙方的权利和义务的行为。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八</w:t>
      </w:r>
      <w:r>
        <w:rPr>
          <w:rFonts w:hint="eastAsia" w:ascii="仿宋" w:hAnsi="仿宋" w:eastAsia="仿宋" w:cs="仿宋"/>
          <w:color w:val="auto"/>
          <w:sz w:val="24"/>
          <w:highlight w:val="none"/>
        </w:rPr>
        <w:t xml:space="preserve">条  合同解除时应书面通知乙方，书面通知到达乙方时解除。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九</w:t>
      </w:r>
      <w:r>
        <w:rPr>
          <w:rFonts w:hint="eastAsia" w:ascii="仿宋" w:hAnsi="仿宋" w:eastAsia="仿宋" w:cs="仿宋"/>
          <w:color w:val="auto"/>
          <w:sz w:val="24"/>
          <w:highlight w:val="none"/>
        </w:rPr>
        <w:t xml:space="preserve">条  因乙方违约解除合同的，视情况轻重列入</w:t>
      </w:r>
      <w:r>
        <w:rPr>
          <w:color w:val="auto"/>
          <w:highlight w:val="none"/>
        </w:rPr>
        <w:fldChar w:fldCharType="begin"/>
      </w:r>
      <w:r>
        <w:rPr>
          <w:color w:val="auto"/>
          <w:highlight w:val="none"/>
        </w:rPr>
        <w:instrText xml:space="preserve"> HYPERLINK "http://www.ccgp.gov.cn/search/cr/./" \o "政府采购严重违法失信行为记录名单" </w:instrText>
      </w:r>
      <w:r>
        <w:rPr>
          <w:color w:val="auto"/>
          <w:highlight w:val="none"/>
        </w:rPr>
        <w:fldChar w:fldCharType="separate"/>
      </w:r>
      <w:r>
        <w:rPr>
          <w:rFonts w:hint="eastAsia" w:ascii="仿宋" w:hAnsi="仿宋" w:eastAsia="仿宋" w:cs="仿宋"/>
          <w:color w:val="auto"/>
          <w:sz w:val="24"/>
          <w:highlight w:val="none"/>
        </w:rPr>
        <w:t xml:space="preserve">政府采</w:t>
      </w:r>
      <w:bookmarkStart w:id="1" w:name="_Hlt36220120"/>
      <w:r/>
      <w:bookmarkStart w:id="2" w:name="_Hlt36220121"/>
      <w:r>
        <w:rPr>
          <w:rFonts w:hint="eastAsia" w:ascii="仿宋" w:hAnsi="仿宋" w:eastAsia="仿宋" w:cs="仿宋"/>
          <w:color w:val="auto"/>
          <w:sz w:val="24"/>
          <w:highlight w:val="none"/>
        </w:rPr>
        <w:t xml:space="preserve">购</w:t>
      </w:r>
      <w:bookmarkEnd w:id="1"/>
      <w:r/>
      <w:bookmarkEnd w:id="2"/>
      <w:r>
        <w:rPr>
          <w:rFonts w:hint="eastAsia" w:ascii="仿宋" w:hAnsi="仿宋" w:eastAsia="仿宋" w:cs="仿宋"/>
          <w:color w:val="auto"/>
          <w:sz w:val="24"/>
          <w:highlight w:val="none"/>
        </w:rPr>
        <w:t xml:space="preserve">失信行为记录名单</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w:t>
      </w:r>
      <w:r>
        <w:rPr>
          <w:rFonts w:hint="eastAsia" w:ascii="仿宋" w:hAnsi="仿宋" w:eastAsia="仿宋" w:cs="仿宋"/>
          <w:color w:val="auto"/>
          <w:sz w:val="24"/>
          <w:highlight w:val="none"/>
          <w:lang w:val="en-US" w:eastAsia="zh-CN"/>
        </w:rPr>
        <w:t xml:space="preserve">三十</w:t>
      </w:r>
      <w:r>
        <w:rPr>
          <w:rFonts w:hint="eastAsia" w:ascii="仿宋" w:hAnsi="仿宋" w:eastAsia="仿宋" w:cs="仿宋"/>
          <w:color w:val="auto"/>
          <w:sz w:val="24"/>
          <w:highlight w:val="none"/>
        </w:rPr>
        <w:t xml:space="preserve">条  合同解除后，甲方有权临时接管或指定第三方负责该标段（采购包）保洁工作。</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第十一节  附则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一</w:t>
      </w:r>
      <w:r>
        <w:rPr>
          <w:rFonts w:hint="eastAsia" w:ascii="仿宋" w:hAnsi="仿宋" w:eastAsia="仿宋" w:cs="仿宋"/>
          <w:color w:val="auto"/>
          <w:sz w:val="24"/>
          <w:highlight w:val="none"/>
        </w:rPr>
        <w:t xml:space="preserve">条  本合同生效之日起，乙方履行本合同义务。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二</w:t>
      </w:r>
      <w:r>
        <w:rPr>
          <w:rFonts w:hint="eastAsia" w:ascii="仿宋" w:hAnsi="仿宋" w:eastAsia="仿宋" w:cs="仿宋"/>
          <w:color w:val="auto"/>
          <w:sz w:val="24"/>
          <w:highlight w:val="none"/>
        </w:rPr>
        <w:t xml:space="preserve">条  本合同之附件均为合同有效组成部分。本合同及其附件和补充协议未规定的事宜，均遵照中华人民共和国有关法律法规和规章执行。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三</w:t>
      </w:r>
      <w:r>
        <w:rPr>
          <w:rFonts w:hint="eastAsia" w:ascii="仿宋" w:hAnsi="仿宋" w:eastAsia="仿宋" w:cs="仿宋"/>
          <w:color w:val="auto"/>
          <w:sz w:val="24"/>
          <w:highlight w:val="none"/>
        </w:rPr>
        <w:t xml:space="preserve">条  本合同连同附件页，一式陆份，具有同等法律效力，甲方叁份，乙方叁份。</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四</w:t>
      </w:r>
      <w:r>
        <w:rPr>
          <w:rFonts w:hint="eastAsia" w:ascii="仿宋" w:hAnsi="仿宋" w:eastAsia="仿宋" w:cs="仿宋"/>
          <w:color w:val="auto"/>
          <w:sz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rPr>
        <w:t xml:space="preserve">条  本合同未尽事宜，由甲乙双方协商解决。如果不能协商一致，合同任何一方有权向甲方所在地人民法院提起诉讼。</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rPr>
        <w:t xml:space="preserve">条  本合同其他未尽事宜及与采购文件有矛盾之处，以采购文件（项目编号：</w:t>
      </w:r>
      <w:r>
        <w:rPr>
          <w:rFonts w:hint="eastAsia" w:ascii="仿宋" w:hAnsi="仿宋" w:eastAsia="仿宋" w:cs="仿宋"/>
          <w:color w:val="auto"/>
          <w:sz w:val="24"/>
          <w:highlight w:val="none"/>
          <w:lang w:eastAsia="zh-CN"/>
        </w:rPr>
        <w:t xml:space="preserve">JSZC-320311-TTDL-G2026-0003</w:t>
      </w:r>
      <w:r>
        <w:rPr>
          <w:rFonts w:hint="eastAsia" w:ascii="仿宋" w:hAnsi="仿宋" w:eastAsia="仿宋" w:cs="仿宋"/>
          <w:color w:val="auto"/>
          <w:sz w:val="24"/>
          <w:highlight w:val="none"/>
        </w:rPr>
        <w:t xml:space="preserve">）为准。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七</w:t>
      </w:r>
      <w:r>
        <w:rPr>
          <w:rFonts w:hint="eastAsia" w:ascii="仿宋" w:hAnsi="仿宋" w:eastAsia="仿宋" w:cs="仿宋"/>
          <w:color w:val="auto"/>
          <w:sz w:val="24"/>
          <w:highlight w:val="none"/>
        </w:rPr>
        <w:t xml:space="preserve">条  合同的变更：甲方在履行完政府采购计划变更手续并完成相关采购程序后，签订政府采购补充（变更）协议后予以变更。</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甲方（签章）：                          乙方（签章）：</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                   日期：   年   月    日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地址：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邮编：                                  邮编：</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传真：                                  传真：</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                                  电话：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                 法定代表人或授权代表：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开户银行：                              开户银行：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银行账号：                              银行账号：</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jc w:val="left"/>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合同附件1</w:t>
      </w:r>
      <w:r/>
    </w:p>
    <w:p>
      <w:pPr>
        <w:jc w:val="center"/>
        <w:spacing w:line="340" w:lineRule="exact"/>
        <w:rPr>
          <w:rFonts w:ascii="仿宋" w:hAnsi="仿宋" w:eastAsia="仿宋" w:cs="仿宋"/>
          <w:color w:val="auto"/>
          <w:szCs w:val="21"/>
          <w:highlight w:val="none"/>
        </w:rPr>
      </w:pPr>
      <w:r>
        <w:rPr>
          <w:rFonts w:ascii="仿宋" w:hAnsi="仿宋" w:eastAsia="仿宋" w:cs="仿宋"/>
          <w:color w:val="auto"/>
          <w:szCs w:val="21"/>
          <w:highlight w:val="none"/>
        </w:rPr>
      </w:r>
      <w:r/>
    </w:p>
    <w:p>
      <w:pPr>
        <w:jc w:val="center"/>
        <w:spacing w:line="340" w:lineRule="exact"/>
        <w:rPr>
          <w:rFonts w:ascii="仿宋" w:hAnsi="仿宋" w:eastAsia="仿宋" w:cs="仿宋"/>
          <w:color w:val="auto"/>
          <w:szCs w:val="21"/>
          <w:highlight w:val="none"/>
        </w:rPr>
      </w:pPr>
      <w:r>
        <w:rPr>
          <w:rFonts w:ascii="仿宋" w:hAnsi="仿宋" w:eastAsia="仿宋" w:cs="仿宋"/>
          <w:color w:val="auto"/>
          <w:szCs w:val="21"/>
          <w:highlight w:val="none"/>
        </w:rPr>
      </w:r>
      <w:r/>
    </w:p>
    <w:p>
      <w:pPr>
        <w:ind w:firstLine="562"/>
        <w:jc w:val="center"/>
        <w:spacing w:line="340" w:lineRule="exact"/>
        <w:rPr>
          <w:rFonts w:ascii="仿宋" w:hAnsi="仿宋" w:eastAsia="仿宋" w:cs="仿宋"/>
          <w:color w:val="auto"/>
          <w:sz w:val="24"/>
          <w:highlight w:val="none"/>
        </w:rPr>
      </w:pPr>
      <w:r>
        <w:rPr>
          <w:rFonts w:hint="eastAsia" w:ascii="仿宋" w:hAnsi="仿宋" w:eastAsia="仿宋" w:cs="仿宋"/>
          <w:b/>
          <w:bCs/>
          <w:color w:val="auto"/>
          <w:sz w:val="28"/>
          <w:highlight w:val="none"/>
        </w:rPr>
        <w:t xml:space="preserve">徐州市主城区环卫保洁市场化考核实施细则</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为更加科学有效的组织开展环卫保洁作业质效考核，全面提升环境卫生质量，打造“干净、整洁、有序、安全、群众满意”的城市环境，制定本考核细则。</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一、考核主体</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按照徐州市政府第63次常务会议纪要和关于印发《徐州市主城区环卫保洁市场化实施方案》的通知（徐城管发[2026]6号）等文件要求，市城市管理部门牵头，区级城市管理部门、第三方巡查评价共同参与。</w:t>
      </w:r>
      <w:r/>
    </w:p>
    <w:p>
      <w:pPr>
        <w:ind w:firstLine="480"/>
        <w:spacing w:line="360" w:lineRule="auto"/>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二、考核内容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考核包括履约考核和作业质量考核两部分。具体如下：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1.履约考核</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履约考核包括作业经费核减和违约责任考核两个方面。</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（1）作业经费核减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由市城管局牵头，区城管局参与，每月根据各标段实际作业情况，对道路机械化未作业、公厕未开放，因客观条件需减少或暂停保洁等情况，核算实际作业量，依据实际作业量对作业经费进行核减。</w:t>
      </w:r>
      <w:r/>
    </w:p>
    <w:p>
      <w:pPr>
        <w:numPr>
          <w:ilvl w:val="0"/>
          <w:numId w:val="2"/>
        </w:num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违约责任考核</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由市城管局牵头，区城管局参与，根据合同的相关违约及合同解除条款按月进行扣款。（详见合同约定）</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2.作业质量考核</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作业质量考核包括现场考核和专项考核两个方面。具体考核细则详见附件2。</w:t>
      </w:r>
      <w:r/>
    </w:p>
    <w:p>
      <w:pPr>
        <w:numPr>
          <w:ilvl w:val="0"/>
          <w:numId w:val="3"/>
        </w:num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现场考核</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现场考核由市城管局、区城管局、第三方巡查评价分别独立组织实施。考核分为道路人工作业、道路机械化作业、公厕保洁作业三项内容，每项内容均采用百分制考核。每月采取全覆盖考核，相关数据上传至城市运行综合监管平台系统，月底由系统自动生成成绩。</w:t>
      </w:r>
      <w:r/>
    </w:p>
    <w:p>
      <w:pPr>
        <w:numPr>
          <w:ilvl w:val="0"/>
          <w:numId w:val="3"/>
        </w:num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专项考核</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专项考核由市城管局、区城管局组织实施。考核包括人员管理、场地管理、安全管理等，每月组织一次，采取倒扣分形式（倒扣分不设置扣分上限，扣完为止）。</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三、作业质量计分方式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月度作业质量考核得分由市城管局牵头，区城管局、第三方巡查评价参与，按照3:3:4的比例，依托城市运行综合监管平台系统开展。具体公式如下：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月度作业质量考核得分=现场考核得分-专项考核得分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1.现场考核得分具体计算公式如下：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现场考核得分=人工作业得分*人工经费占比+机械化作业得分*机械化经费占比）+公厕作业得分*公厕经费占比</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（1）人工、机械化、公厕作业得分计算公式如下：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作业得分=市城管局考核得分*0.3</w:t>
      </w:r>
      <w:bookmarkStart w:id="6" w:name="_GoBack"/>
      <w:r/>
      <w:bookmarkEnd w:id="6"/>
      <w:r>
        <w:rPr>
          <w:rFonts w:hint="eastAsia" w:ascii="仿宋" w:hAnsi="仿宋" w:eastAsia="仿宋" w:cs="仿宋"/>
          <w:color w:val="auto"/>
          <w:sz w:val="24"/>
          <w:highlight w:val="none"/>
        </w:rPr>
        <w:t xml:space="preserve">+区城管局考核得分*0.3+第三方巡查评价得分*0.4</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其中区城管局考核比例分配：区城管局、各街道按照1:1比例核定。</w:t>
      </w:r>
      <w:r/>
    </w:p>
    <w:p>
      <w:pPr>
        <w:numPr>
          <w:numId w:val="0"/>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人工、机械化、公厕作业经费占比根据合同约定测算确定。</w:t>
      </w:r>
      <w:r/>
    </w:p>
    <w:tbl>
      <w:tblPr>
        <w:tblStyle w:val="924"/>
        <w:tblW w:w="831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540"/>
        <w:gridCol w:w="1787"/>
        <w:gridCol w:w="1960"/>
        <w:gridCol w:w="2066"/>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both"/>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人工经费占比</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机械化经费占比</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val="false"/>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公厕经费占比</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restart"/>
            <w:textDirection w:val="lrTb"/>
            <w:noWrap w:val="false"/>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比例（%）</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68.93%</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23.67%</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7.40%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both"/>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67.87%</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19.33%</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12.80%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both"/>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67.01%</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27.71%</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5.28%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both"/>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54.99%</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35.88%</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9.13%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both"/>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61.38%</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28.38%</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10.24%</w:t>
            </w:r>
            <w:r/>
          </w:p>
        </w:tc>
      </w:tr>
    </w:tbl>
    <w:p>
      <w:pPr>
        <w:numPr>
          <w:ilvl w:val="0"/>
          <w:numId w:val="0"/>
        </w:numPr>
        <w:jc w:val="both"/>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2.专项考核得分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依据考核细则，按月汇总扣分。</w:t>
      </w:r>
      <w:r/>
    </w:p>
    <w:p>
      <w:pPr>
        <w:numPr>
          <w:ilvl w:val="0"/>
          <w:numId w:val="4"/>
        </w:num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考核结果运用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由市城管局牵头，区城管局参与，对考核得分汇总后核算月度支付金额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月度支付金额=月度应付金额-月度作业质量考核扣款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1.月度应付金额=月合同价款-月作业经费核减-月违约责任考核扣款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（1）月合同价款</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月合同价款=中标合同价/36</w:t>
      </w:r>
      <w:r/>
    </w:p>
    <w:p>
      <w:pPr>
        <w:ind w:left="4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（2）月作业经费核减</w:t>
      </w:r>
      <w:r/>
    </w:p>
    <w:p>
      <w:pPr>
        <w:ind w:left="4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根据履约考核中的作业经费核减确定具体数额。</w:t>
      </w:r>
      <w:r/>
    </w:p>
    <w:p>
      <w:pPr>
        <w:ind w:left="4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（3）月违约责任考核扣款</w:t>
      </w:r>
      <w:r/>
    </w:p>
    <w:p>
      <w:pPr>
        <w:ind w:left="4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根据履约考核中的月违约责任考核扣款确定具体数额。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2.月度作业质量考核扣款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月度作业质量考核扣款=(95-月度作业质量考核得分)*N*月度应付金额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具体计算规则如下：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当月得分大于95（含）,N=0;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当月得分大于90（含）小于95的，N=1;</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当月得分大于85（含）小于90的，N=2;</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得分低于85分，N=3。</w:t>
      </w:r>
      <w:r/>
    </w:p>
    <w:p>
      <w:pPr>
        <w:numPr>
          <w:ilvl w:val="0"/>
          <w:numId w:val="4"/>
        </w:num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其他</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市城管局根据相关政策、规定及实际情况可以适时调整考核标准、实施细则、计分方式等。</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color w:val="auto"/>
          <w:sz w:val="24"/>
          <w:highlight w:val="none"/>
        </w:rPr>
      </w:r>
      <w:r/>
    </w:p>
    <w:p>
      <w:pPr>
        <w:jc w:val="left"/>
        <w:spacing w:line="340" w:lineRule="exact"/>
        <w:rPr>
          <w:rFonts w:ascii="仿宋" w:hAnsi="仿宋" w:eastAsia="仿宋" w:cs="仿宋"/>
          <w:color w:val="auto"/>
          <w:sz w:val="30"/>
          <w:szCs w:val="30"/>
          <w:highlight w:val="none"/>
        </w:rPr>
      </w:pPr>
      <w:r>
        <w:rPr>
          <w:rFonts w:hint="eastAsia" w:ascii="仿宋" w:hAnsi="仿宋" w:eastAsia="仿宋" w:cs="仿宋"/>
          <w:color w:val="auto"/>
          <w:sz w:val="24"/>
          <w:highlight w:val="none"/>
        </w:rPr>
        <w:t xml:space="preserve">合同附件2</w:t>
      </w:r>
      <w:r/>
    </w:p>
    <w:p>
      <w:pPr>
        <w:contextualSpacing/>
        <w:ind w:firstLine="643"/>
        <w:spacing w:line="578"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第一部分：日常检查考核细则</w:t>
      </w:r>
      <w:r/>
    </w:p>
    <w:p>
      <w:pPr>
        <w:ind w:firstLine="560"/>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表1：道路人工作业考核细则（满分100分）</w:t>
      </w:r>
      <w:r/>
    </w:p>
    <w:tbl>
      <w:tblPr>
        <w:tblStyle w:val="924"/>
        <w:tblW w:w="15297" w:type="dxa"/>
        <w:tblInd w:w="-8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085"/>
        <w:gridCol w:w="11908"/>
      </w:tblGrid>
      <w:tr>
        <w:trPr>
          <w:trHeight w:val="254"/>
        </w:trPr>
        <w:tc>
          <w:tcPr>
            <w:tcW w:w="1304" w:type="dxa"/>
            <w:vAlign w:val="center"/>
            <w:textDirection w:val="lrTb"/>
            <w:noWrap/>
          </w:tcPr>
          <w:p>
            <w:pPr>
              <w:jc w:val="center"/>
              <w:keepLines w:val="0"/>
              <w:keepNext w:val="0"/>
              <w:pageBreakBefore w:val="0"/>
              <w:spacing w:line="40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考核项目</w:t>
            </w:r>
            <w:r/>
          </w:p>
        </w:tc>
        <w:tc>
          <w:tcPr>
            <w:tcW w:w="2085" w:type="dxa"/>
            <w:vAlign w:val="center"/>
            <w:textDirection w:val="lrTb"/>
            <w:noWrap/>
          </w:tcPr>
          <w:p>
            <w:pPr>
              <w:jc w:val="center"/>
              <w:keepLines w:val="0"/>
              <w:keepNext w:val="0"/>
              <w:pageBreakBefore w:val="0"/>
              <w:spacing w:line="40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1908" w:type="dxa"/>
            <w:vAlign w:val="center"/>
            <w:textDirection w:val="lrTb"/>
            <w:noWrap/>
          </w:tcPr>
          <w:p>
            <w:pPr>
              <w:jc w:val="center"/>
              <w:keepLines w:val="0"/>
              <w:keepNext w:val="0"/>
              <w:pageBreakBefore w:val="0"/>
              <w:spacing w:line="40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扣分标准</w:t>
            </w:r>
            <w:r/>
          </w:p>
        </w:tc>
      </w:tr>
      <w:tr>
        <w:trPr>
          <w:trHeight w:val="300"/>
        </w:trPr>
        <w:tc>
          <w:tcPr>
            <w:tcW w:w="1304" w:type="dxa"/>
            <w:vAlign w:val="center"/>
            <w:vMerge w:val="restart"/>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普扫</w:t>
            </w:r>
            <w:r>
              <w:rPr>
                <w:rFonts w:hint="eastAsia" w:ascii="仿宋" w:hAnsi="仿宋" w:eastAsia="仿宋" w:cs="仿宋"/>
                <w:color w:val="auto"/>
                <w:sz w:val="24"/>
                <w:szCs w:val="24"/>
                <w:highlight w:val="none"/>
                <w:lang w:eastAsia="zh-CN"/>
              </w:rPr>
              <w:t xml:space="preserve">（含绿化带、绿地）</w:t>
            </w:r>
            <w:r>
              <w:rPr>
                <w:rFonts w:hint="eastAsia" w:ascii="仿宋" w:hAnsi="仿宋" w:eastAsia="仿宋" w:cs="仿宋"/>
                <w:color w:val="auto"/>
                <w:sz w:val="24"/>
                <w:szCs w:val="24"/>
                <w:highlight w:val="none"/>
              </w:rPr>
              <w:t xml:space="preserve">清扫保洁(</w:t>
            </w:r>
            <w:r>
              <w:rPr>
                <w:rFonts w:hint="eastAsia" w:ascii="仿宋" w:hAnsi="仿宋" w:eastAsia="仿宋" w:cs="仿宋"/>
                <w:color w:val="auto"/>
                <w:sz w:val="24"/>
                <w:szCs w:val="24"/>
                <w:highlight w:val="none"/>
                <w:lang w:val="en-US" w:eastAsia="zh-CN"/>
              </w:rPr>
              <w:t xml:space="preserve">70</w:t>
            </w:r>
            <w:r>
              <w:rPr>
                <w:rFonts w:hint="eastAsia" w:ascii="仿宋" w:hAnsi="仿宋" w:eastAsia="仿宋" w:cs="仿宋"/>
                <w:color w:val="auto"/>
                <w:sz w:val="24"/>
                <w:szCs w:val="24"/>
                <w:highlight w:val="none"/>
              </w:rPr>
              <w:t xml:space="preserve">分)</w:t>
            </w:r>
            <w:r/>
          </w:p>
        </w:tc>
        <w:tc>
          <w:tcPr>
            <w:tcW w:w="2085"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普扫（20分）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未按时完成普扫</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zh-CN"/>
              </w:rPr>
              <w:t xml:space="preserve">成堆垃圾未清理；</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30米范围内，发现5处以上</w:t>
            </w:r>
            <w:r>
              <w:rPr>
                <w:rFonts w:hint="eastAsia" w:ascii="仿宋" w:hAnsi="仿宋" w:eastAsia="仿宋" w:cs="仿宋"/>
                <w:color w:val="auto"/>
                <w:sz w:val="24"/>
                <w:szCs w:val="24"/>
                <w:highlight w:val="none"/>
              </w:rPr>
              <w:t xml:space="preserve">果皮、纸屑、塑料袋、烟头和其他</w:t>
            </w:r>
            <w:r>
              <w:rPr>
                <w:rFonts w:hint="eastAsia" w:ascii="仿宋" w:hAnsi="仿宋" w:eastAsia="仿宋" w:cs="仿宋"/>
                <w:color w:val="auto"/>
                <w:sz w:val="24"/>
                <w:szCs w:val="24"/>
                <w:highlight w:val="none"/>
                <w:lang w:val="en-US" w:eastAsia="zh-CN"/>
              </w:rPr>
              <w:t xml:space="preserve">生活垃圾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30米内积存大面积落叶，无明显清扫痕迹；</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color w:val="auto"/>
                <w:sz w:val="24"/>
                <w:szCs w:val="24"/>
                <w:highlight w:val="none"/>
                <w:lang w:val="en-US" w:eastAsia="zh-CN"/>
              </w:rPr>
              <w:t xml:space="preserve">30米内积泥（沙石），晴天有积水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trHeight w:val="92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漂浮物（35分）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道路</w:t>
            </w:r>
            <w:r>
              <w:rPr>
                <w:rFonts w:hint="eastAsia" w:ascii="仿宋" w:hAnsi="仿宋" w:eastAsia="仿宋" w:cs="仿宋"/>
                <w:color w:val="auto"/>
                <w:sz w:val="24"/>
                <w:szCs w:val="24"/>
                <w:highlight w:val="none"/>
              </w:rPr>
              <w:t xml:space="preserve">区域内有果皮、纸屑、塑料袋、烟头和其他</w:t>
            </w:r>
            <w:r>
              <w:rPr>
                <w:rFonts w:hint="eastAsia" w:ascii="仿宋" w:hAnsi="仿宋" w:eastAsia="仿宋" w:cs="仿宋"/>
                <w:color w:val="auto"/>
                <w:sz w:val="24"/>
                <w:szCs w:val="24"/>
                <w:highlight w:val="none"/>
                <w:lang w:val="en-US" w:eastAsia="zh-CN"/>
              </w:rPr>
              <w:t xml:space="preserve">生活垃圾</w:t>
            </w:r>
            <w:r>
              <w:rPr>
                <w:rFonts w:hint="eastAsia" w:ascii="仿宋" w:hAnsi="仿宋" w:eastAsia="仿宋" w:cs="仿宋"/>
                <w:color w:val="auto"/>
                <w:sz w:val="24"/>
                <w:szCs w:val="24"/>
                <w:highlight w:val="none"/>
              </w:rPr>
              <w:t xml:space="preserve">，每1000平方米范围内发现</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片（个），扣1分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每多3片（个）加扣1分。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积存垃圾（5分）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积存暴露垃圾或成袋垃圾（占地面积0.5平方米（含）以</w:t>
            </w:r>
            <w:r>
              <w:rPr>
                <w:rFonts w:hint="eastAsia" w:ascii="仿宋" w:hAnsi="仿宋" w:eastAsia="仿宋" w:cs="仿宋"/>
                <w:color w:val="auto"/>
                <w:sz w:val="24"/>
                <w:szCs w:val="24"/>
                <w:highlight w:val="none"/>
                <w:lang w:eastAsia="zh-CN"/>
              </w:rPr>
              <w:t xml:space="preserve">上</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每处</w:t>
            </w:r>
            <w:r>
              <w:rPr>
                <w:rFonts w:hint="eastAsia" w:ascii="仿宋" w:hAnsi="仿宋" w:eastAsia="仿宋" w:cs="仿宋"/>
                <w:color w:val="auto"/>
                <w:sz w:val="24"/>
                <w:szCs w:val="24"/>
                <w:highlight w:val="none"/>
              </w:rPr>
              <w:t xml:space="preserve">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窨井口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10分</w:t>
            </w:r>
            <w:r>
              <w:rPr>
                <w:rFonts w:hint="eastAsia" w:ascii="仿宋" w:hAnsi="仿宋" w:eastAsia="仿宋" w:cs="仿宋"/>
                <w:color w:val="auto"/>
                <w:sz w:val="24"/>
                <w:szCs w:val="24"/>
                <w:highlight w:val="none"/>
                <w:lang w:eastAsia="zh-CN"/>
              </w:rPr>
              <w:t xml:space="preserve">）</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窨井口周边有</w:t>
            </w:r>
            <w:r>
              <w:rPr>
                <w:rFonts w:hint="eastAsia" w:ascii="仿宋" w:hAnsi="仿宋" w:eastAsia="仿宋" w:cs="仿宋"/>
                <w:color w:val="auto"/>
                <w:sz w:val="24"/>
                <w:szCs w:val="24"/>
                <w:highlight w:val="none"/>
                <w:lang w:val="en-US" w:eastAsia="zh-CN"/>
              </w:rPr>
              <w:t xml:space="preserve">生活垃圾</w:t>
            </w:r>
            <w:r>
              <w:rPr>
                <w:rFonts w:hint="eastAsia" w:ascii="仿宋" w:hAnsi="仿宋" w:eastAsia="仿宋" w:cs="仿宋"/>
                <w:color w:val="auto"/>
                <w:sz w:val="24"/>
                <w:szCs w:val="24"/>
                <w:highlight w:val="none"/>
              </w:rPr>
              <w:t xml:space="preserve">及污渍，油污、污渍</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每处</w:t>
            </w:r>
            <w:r>
              <w:rPr>
                <w:rFonts w:hint="eastAsia" w:ascii="仿宋" w:hAnsi="仿宋" w:eastAsia="仿宋" w:cs="仿宋"/>
                <w:color w:val="auto"/>
                <w:sz w:val="24"/>
                <w:szCs w:val="24"/>
                <w:highlight w:val="none"/>
              </w:rPr>
              <w:t xml:space="preserve">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果皮箱和垃圾收集容器保洁(</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果皮箱和垃圾收集容器未密闭</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 ，每个扣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果皮箱和垃圾收集容器满溢</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脏污</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每个扣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箱体有野广告，每个扣1分</w:t>
            </w:r>
            <w:r/>
          </w:p>
        </w:tc>
      </w:tr>
      <w:tr>
        <w:trPr>
          <w:trHeight w:val="300"/>
        </w:trPr>
        <w:tc>
          <w:tcPr>
            <w:gridSpan w:val="2"/>
            <w:tcW w:w="3389"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野广告清理(5分)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野广告未及时清理，每个扣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护栏保洁(</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护栏脏污，</w:t>
            </w:r>
            <w:r>
              <w:rPr>
                <w:rFonts w:hint="eastAsia" w:ascii="仿宋" w:hAnsi="仿宋" w:eastAsia="仿宋" w:cs="仿宋"/>
                <w:color w:val="auto"/>
                <w:sz w:val="24"/>
                <w:szCs w:val="24"/>
                <w:highlight w:val="none"/>
                <w:lang w:val="en-US" w:eastAsia="zh-CN"/>
              </w:rPr>
              <w:t xml:space="preserve">每处</w:t>
            </w:r>
            <w:r>
              <w:rPr>
                <w:rFonts w:hint="eastAsia" w:ascii="仿宋" w:hAnsi="仿宋" w:eastAsia="仿宋" w:cs="仿宋"/>
                <w:color w:val="auto"/>
                <w:sz w:val="24"/>
                <w:szCs w:val="24"/>
                <w:highlight w:val="none"/>
              </w:rPr>
              <w:t xml:space="preserve">扣1分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隔离护栏缓冲带、栏下有泥垢有</w:t>
            </w:r>
            <w:r>
              <w:rPr>
                <w:rFonts w:hint="eastAsia" w:ascii="仿宋" w:hAnsi="仿宋" w:eastAsia="仿宋" w:cs="仿宋"/>
                <w:color w:val="auto"/>
                <w:sz w:val="24"/>
                <w:szCs w:val="24"/>
                <w:highlight w:val="none"/>
                <w:lang w:val="en-US" w:eastAsia="zh-CN"/>
              </w:rPr>
              <w:t xml:space="preserve">生活垃圾</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每例</w:t>
            </w:r>
            <w:r>
              <w:rPr>
                <w:rFonts w:hint="eastAsia" w:ascii="仿宋" w:hAnsi="仿宋" w:eastAsia="仿宋" w:cs="仿宋"/>
                <w:color w:val="auto"/>
                <w:sz w:val="24"/>
                <w:szCs w:val="24"/>
                <w:highlight w:val="none"/>
              </w:rPr>
              <w:t xml:space="preserve">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r>
      <w:tr>
        <w:trPr>
          <w:trHeight w:val="300"/>
        </w:trPr>
        <w:tc>
          <w:tcPr>
            <w:gridSpan w:val="2"/>
            <w:tcW w:w="3389"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文明作业（10分）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工</w:t>
            </w:r>
            <w:r>
              <w:rPr>
                <w:rFonts w:hint="eastAsia" w:ascii="仿宋" w:hAnsi="仿宋" w:eastAsia="仿宋" w:cs="仿宋"/>
                <w:b w:val="0"/>
                <w:bCs w:val="0"/>
                <w:color w:val="auto"/>
                <w:sz w:val="24"/>
                <w:szCs w:val="24"/>
                <w:highlight w:val="none"/>
              </w:rPr>
              <w:t xml:space="preserve">作服装脏污</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破损</w:t>
            </w:r>
            <w:r>
              <w:rPr>
                <w:rFonts w:hint="eastAsia" w:ascii="仿宋" w:hAnsi="仿宋" w:eastAsia="仿宋" w:cs="仿宋"/>
                <w:b w:val="0"/>
                <w:bCs w:val="0"/>
                <w:color w:val="auto"/>
                <w:sz w:val="24"/>
                <w:szCs w:val="24"/>
                <w:highlight w:val="none"/>
              </w:rPr>
              <w:t xml:space="preserve">每例扣</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分；保洁员不遵守交通规则，每例扣</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快速保洁车</w:t>
            </w:r>
            <w:r>
              <w:rPr>
                <w:rFonts w:hint="eastAsia" w:ascii="仿宋" w:hAnsi="仿宋" w:eastAsia="仿宋" w:cs="仿宋"/>
                <w:color w:val="auto"/>
                <w:sz w:val="24"/>
                <w:szCs w:val="24"/>
                <w:highlight w:val="none"/>
              </w:rPr>
              <w:t xml:space="preserve">车体不洁、有明显污垢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拖挂生活垃圾</w:t>
            </w:r>
            <w:r>
              <w:rPr>
                <w:rFonts w:hint="eastAsia" w:ascii="仿宋" w:hAnsi="仿宋" w:eastAsia="仿宋" w:cs="仿宋"/>
                <w:color w:val="auto"/>
                <w:sz w:val="24"/>
                <w:szCs w:val="24"/>
                <w:highlight w:val="none"/>
              </w:rPr>
              <w:t xml:space="preserve">，每例扣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分；车辆长期乱停乱放，每例扣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严禁将垃圾清扫、倾倒至窨井口或绿化带内，每例扣5分；严禁当街焚烧垃圾，每例扣5分</w:t>
            </w:r>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表2：道路机械化作业考核细则（满分100分）</w:t>
      </w:r>
      <w:r/>
    </w:p>
    <w:tbl>
      <w:tblPr>
        <w:tblStyle w:val="9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1403"/>
        <w:gridCol w:w="3681"/>
        <w:gridCol w:w="7719"/>
      </w:tblGrid>
      <w:tr>
        <w:trPr>
          <w:trHeight w:val="498"/>
          <w:tblHeader/>
        </w:trPr>
        <w:tc>
          <w:tcPr>
            <w:gridSpan w:val="2"/>
            <w:tcW w:w="976" w:type="pct"/>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考核项目</w:t>
            </w:r>
            <w:r/>
          </w:p>
        </w:tc>
        <w:tc>
          <w:tcPr>
            <w:tcW w:w="1299" w:type="pct"/>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作业要求</w:t>
            </w:r>
            <w:r/>
          </w:p>
        </w:tc>
        <w:tc>
          <w:tcPr>
            <w:tcW w:w="2724" w:type="pct"/>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扣分标准</w:t>
            </w:r>
            <w:r/>
          </w:p>
        </w:tc>
      </w:tr>
      <w:tr>
        <w:trPr>
          <w:trHeight w:val="90"/>
        </w:trPr>
        <w:tc>
          <w:tcPr>
            <w:gridSpan w:val="2"/>
            <w:tcW w:w="976"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文明作业（5分）</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作业时遇行人、非机动车主动避让，停止作业</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未主动避让，每次扣2分。</w:t>
            </w:r>
            <w:r/>
          </w:p>
        </w:tc>
      </w:tr>
      <w:tr>
        <w:trPr>
          <w:trHeight w:val="90"/>
        </w:trPr>
        <w:tc>
          <w:tcPr>
            <w:tcW w:w="481" w:type="pct"/>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管理标准（5分）</w:t>
            </w:r>
            <w:r/>
          </w:p>
        </w:tc>
        <w:tc>
          <w:tcPr>
            <w:tcW w:w="49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车容车貌</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作业时保持车容整洁，标志清晰、齐全，车体无破损、无锈蚀、无污物、无灰垢，应杜绝吊挂，滴漏油液等现象。</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标志不清晰、不齐全每辆次扣1分，车体破损锈蚀每辆次扣1分，车体不洁、车容不整每辆次扣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分，吊挂、滴漏油液每辆次扣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rPr>
              <w:t xml:space="preserve">车体不洁、有明显污垢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拖挂生活垃圾</w:t>
            </w:r>
            <w:r>
              <w:rPr>
                <w:rFonts w:hint="eastAsia" w:ascii="仿宋" w:hAnsi="仿宋" w:eastAsia="仿宋" w:cs="仿宋"/>
                <w:color w:val="auto"/>
                <w:sz w:val="24"/>
                <w:szCs w:val="24"/>
                <w:highlight w:val="none"/>
              </w:rPr>
              <w:t xml:space="preserve">，每例扣0.5分；车辆长期乱停乱放，每例扣0.5分。</w:t>
            </w:r>
            <w:r/>
          </w:p>
        </w:tc>
      </w:tr>
      <w:tr>
        <w:trPr>
          <w:trHeight w:val="90"/>
        </w:trPr>
        <w:tc>
          <w:tcPr>
            <w:tcW w:w="481" w:type="pct"/>
            <w:vAlign w:val="center"/>
            <w:vMerge w:val="restart"/>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作业标准（</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分）</w:t>
            </w:r>
            <w:r/>
          </w:p>
        </w:tc>
        <w:tc>
          <w:tcPr>
            <w:tcW w:w="494" w:type="pct"/>
            <w:vAlign w:val="center"/>
            <w:vMerge w:val="restart"/>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信息化设备（5分）</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按照合同约定对</w:t>
            </w:r>
            <w:r>
              <w:rPr>
                <w:rFonts w:hint="eastAsia" w:ascii="仿宋" w:hAnsi="仿宋" w:eastAsia="仿宋" w:cs="仿宋"/>
                <w:color w:val="auto"/>
                <w:sz w:val="24"/>
                <w:szCs w:val="24"/>
                <w:highlight w:val="none"/>
                <w:lang w:val="en-US" w:eastAsia="zh-CN"/>
              </w:rPr>
              <w:t xml:space="preserve">车辆</w:t>
            </w:r>
            <w:r>
              <w:rPr>
                <w:rFonts w:hint="eastAsia" w:ascii="仿宋" w:hAnsi="仿宋" w:eastAsia="仿宋" w:cs="仿宋"/>
                <w:color w:val="auto"/>
                <w:sz w:val="24"/>
                <w:szCs w:val="24"/>
                <w:highlight w:val="none"/>
                <w:lang w:eastAsia="zh-CN"/>
              </w:rPr>
              <w:t xml:space="preserve">安装</w:t>
            </w:r>
            <w:r>
              <w:rPr>
                <w:rFonts w:hint="eastAsia" w:ascii="仿宋" w:hAnsi="仿宋" w:eastAsia="仿宋" w:cs="仿宋"/>
                <w:color w:val="auto"/>
                <w:sz w:val="24"/>
                <w:szCs w:val="24"/>
                <w:highlight w:val="none"/>
                <w:lang w:val="en-US" w:eastAsia="zh-CN"/>
              </w:rPr>
              <w:t xml:space="preserve">北斗定位系统和摄像设备</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平台系统发现未按照合同约定北斗定位系统、摄像头接入系统的，每次扣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分；北斗定位系统、摄像头等设备损坏</w:t>
            </w:r>
            <w:r>
              <w:rPr>
                <w:rFonts w:hint="eastAsia" w:ascii="仿宋" w:hAnsi="仿宋" w:eastAsia="仿宋" w:cs="仿宋"/>
                <w:color w:val="auto"/>
                <w:sz w:val="24"/>
                <w:szCs w:val="24"/>
                <w:highlight w:val="none"/>
                <w:lang w:val="en-US" w:eastAsia="zh-CN"/>
              </w:rPr>
              <w:t xml:space="preserve">3个工作日内</w:t>
            </w:r>
            <w:r>
              <w:rPr>
                <w:rFonts w:hint="eastAsia" w:ascii="仿宋" w:hAnsi="仿宋" w:eastAsia="仿宋" w:cs="仿宋"/>
                <w:color w:val="auto"/>
                <w:sz w:val="24"/>
                <w:szCs w:val="24"/>
                <w:highlight w:val="none"/>
                <w:lang w:eastAsia="zh-CN"/>
              </w:rPr>
              <w:t xml:space="preserve">未及时维修，每次扣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w:t>
            </w:r>
            <w:r/>
          </w:p>
        </w:tc>
      </w:tr>
      <w:tr>
        <w:trPr>
          <w:trHeight w:val="90"/>
        </w:trPr>
        <w:tc>
          <w:tcPr>
            <w:tcW w:w="481" w:type="pct"/>
            <w:vAlign w:val="center"/>
            <w:vMerge w:val="continue"/>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车辆启动副发实时作业状态接入平台系统</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平台系统发现未接入作业状态的，每次扣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p>
        </w:tc>
      </w:tr>
      <w:tr>
        <w:trPr>
          <w:trHeight w:val="1404"/>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作业速度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15分</w:t>
            </w:r>
            <w:r>
              <w:rPr>
                <w:rFonts w:hint="eastAsia" w:ascii="仿宋" w:hAnsi="仿宋" w:eastAsia="仿宋" w:cs="仿宋"/>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机械清洗作业时速不大于</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CN"/>
              </w:rPr>
              <w:t xml:space="preserve">公里/小时；</w:t>
            </w:r>
            <w:r/>
          </w:p>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机械洗扫作业时速不大于</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CN"/>
              </w:rPr>
              <w:t xml:space="preserve">公里/小时。</w:t>
            </w:r>
            <w:r/>
          </w:p>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定位系统</w:t>
            </w:r>
            <w:r>
              <w:rPr>
                <w:rFonts w:hint="eastAsia" w:ascii="仿宋" w:hAnsi="仿宋" w:eastAsia="仿宋" w:cs="仿宋"/>
                <w:color w:val="auto"/>
                <w:sz w:val="24"/>
                <w:szCs w:val="24"/>
                <w:highlight w:val="none"/>
                <w:lang w:eastAsia="zh-CN"/>
              </w:rPr>
              <w:t xml:space="preserve">每15秒上传信号源，在2分钟内连续超速被认定为超速并计入违规报警，非作业路段及非作业时间、超出规定频次（因道路扬尘加强作业的）不列入超速统计范围；</w:t>
            </w:r>
            <w:r/>
          </w:p>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（2）无特殊情况超过规定停留时间的（一般超过</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分钟视长时间停车）列入违规报警；</w:t>
            </w:r>
            <w:r/>
          </w:p>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平台系统发现超速，每辆次扣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p>
        </w:tc>
      </w:tr>
      <w:tr>
        <w:trPr>
          <w:trHeight w:val="644"/>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洗扫作业（</w:t>
            </w:r>
            <w:r>
              <w:rPr>
                <w:rFonts w:hint="eastAsia" w:ascii="仿宋" w:hAnsi="仿宋" w:eastAsia="仿宋" w:cs="仿宋"/>
                <w:color w:val="auto"/>
                <w:sz w:val="24"/>
                <w:szCs w:val="24"/>
                <w:highlight w:val="none"/>
                <w:lang w:val="en-US" w:eastAsia="zh-CN"/>
              </w:rPr>
              <w:t xml:space="preserve">10分</w:t>
            </w:r>
            <w:r>
              <w:rPr>
                <w:rFonts w:hint="eastAsia" w:ascii="仿宋" w:hAnsi="仿宋" w:eastAsia="仿宋" w:cs="仿宋"/>
                <w:color w:val="auto"/>
                <w:sz w:val="24"/>
                <w:szCs w:val="24"/>
                <w:highlight w:val="none"/>
                <w:lang w:eastAsia="zh-CN"/>
              </w:rPr>
              <w:t xml:space="preserve">）</w:t>
            </w:r>
            <w:r/>
          </w:p>
          <w:p>
            <w:pPr>
              <w:ind w:left="1440" w:right="1440"/>
              <w:jc w:val="both"/>
              <w:keepLines w:val="0"/>
              <w:keepNext w:val="0"/>
              <w:pageBreakBefore w:val="0"/>
              <w:spacing w:after="120"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作业前应检查扫刷落地高度，一般降至刷毛稍压地面为合适，作业时禁止扫刷不落地。</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扫刷没有落地接触地面的，每辆次扣5分。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作业车辆沿车道两侧路牙石边缘贴边作业。</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未沿车道路牙石两侧边缘贴边作业的（扫刷接触路牙石平石面不得少于1/3），每辆次扣5分。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冲洗作业（</w:t>
            </w:r>
            <w:r>
              <w:rPr>
                <w:rFonts w:hint="eastAsia" w:ascii="仿宋" w:hAnsi="仿宋" w:eastAsia="仿宋" w:cs="仿宋"/>
                <w:color w:val="auto"/>
                <w:sz w:val="24"/>
                <w:szCs w:val="24"/>
                <w:highlight w:val="none"/>
                <w:lang w:val="en-US" w:eastAsia="zh-CN"/>
              </w:rPr>
              <w:t xml:space="preserve">5分</w:t>
            </w:r>
            <w:r>
              <w:rPr>
                <w:rFonts w:hint="eastAsia" w:ascii="仿宋" w:hAnsi="仿宋" w:eastAsia="仿宋" w:cs="仿宋"/>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作业应覆盖道路的所有机动车道，作业后路面无干燥路段和片区。</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作业后路面有干燥路段和片区的，每辆次扣2分。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精细化作业（</w:t>
            </w:r>
            <w:r>
              <w:rPr>
                <w:rFonts w:hint="eastAsia" w:ascii="仿宋" w:hAnsi="仿宋" w:eastAsia="仿宋" w:cs="仿宋"/>
                <w:color w:val="auto"/>
                <w:sz w:val="24"/>
                <w:szCs w:val="24"/>
                <w:highlight w:val="none"/>
                <w:lang w:val="en-US" w:eastAsia="zh-CN"/>
              </w:rPr>
              <w:t xml:space="preserve">5分</w:t>
            </w:r>
            <w:r>
              <w:rPr>
                <w:rFonts w:hint="eastAsia" w:ascii="仿宋" w:hAnsi="仿宋" w:eastAsia="仿宋" w:cs="仿宋"/>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人机配合、规范操作。</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未按规范操作的，每例次扣1分。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路面见本色，无油污、无漏洗、无积水。</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路面有油污的，每例扣1分；</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有较多积水的，每例扣1分；</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明显漏洗的，每例扣1分。</w:t>
            </w:r>
            <w:r/>
          </w:p>
        </w:tc>
      </w:tr>
      <w:tr>
        <w:trPr>
          <w:trHeight w:val="597"/>
        </w:trPr>
        <w:tc>
          <w:tcPr>
            <w:tcW w:w="481"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作业质量（50分）</w:t>
            </w:r>
            <w:r/>
          </w:p>
        </w:tc>
        <w:tc>
          <w:tcPr>
            <w:gridSpan w:val="3"/>
            <w:tcW w:w="4518"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该项得分=50*积尘合格率</w:t>
            </w:r>
            <w:r/>
          </w:p>
        </w:tc>
      </w:tr>
    </w:tbl>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备注：立交桥立面清洗考核参照机械化作业考核标准执行；作业标准“清扫保洁”“冲洗”“精细化作业”项考核，根据车辆具体的作业方式选择考核项目；积尘检测考核等标准由城管部门另行制定。</w:t>
      </w:r>
      <w:r/>
    </w:p>
    <w:p>
      <w:pPr>
        <w:spacing w:line="560" w:lineRule="exact"/>
        <w:rPr>
          <w:rFonts w:ascii="仿宋" w:hAnsi="仿宋" w:eastAsia="仿宋" w:cs="仿宋"/>
          <w:b/>
          <w:bCs/>
          <w:color w:val="auto"/>
          <w:sz w:val="28"/>
          <w:szCs w:val="28"/>
          <w:highlight w:val="none"/>
        </w:rPr>
        <w:sectPr>
          <w:footerReference w:type="default" r:id="rId14"/>
          <w:footnotePr/>
          <w:endnotePr/>
          <w:type w:val="nextPage"/>
          <w:pgSz w:w="16838" w:h="11906" w:orient="landscape"/>
          <w:pgMar w:top="1800" w:right="1440" w:bottom="1800" w:left="1440" w:header="851" w:footer="992" w:gutter="0"/>
          <w:cols w:num="1" w:sep="0" w:space="1701" w:equalWidth="1"/>
          <w:docGrid w:linePitch="360"/>
        </w:sectPr>
      </w:pPr>
      <w:r>
        <w:rPr>
          <w:rFonts w:ascii="仿宋" w:hAnsi="仿宋" w:eastAsia="仿宋" w:cs="仿宋"/>
          <w:b/>
          <w:bCs/>
          <w:color w:val="auto"/>
          <w:sz w:val="28"/>
          <w:szCs w:val="28"/>
          <w:highlight w:val="none"/>
        </w:rPr>
      </w:r>
      <w:r/>
    </w:p>
    <w:p>
      <w:pPr>
        <w:ind w:right="-42"/>
        <w:spacing w:after="100" w:afterAutospacing="1" w:line="600" w:lineRule="exact"/>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 xml:space="preserve">按照道路等级划分，对不同等级的道路分别采集单位面积内的积尘含量，尘土残存量考核标准为：</w:t>
      </w:r>
      <w:r/>
    </w:p>
    <w:tbl>
      <w:tblPr>
        <w:tblStyle w:val="924"/>
        <w:tblW w:w="50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26"/>
        <w:gridCol w:w="5168"/>
      </w:tblGrid>
      <w:tr>
        <w:trPr>
          <w:jc w:val="center"/>
          <w:trHeight w:val="510"/>
        </w:trPr>
        <w:tc>
          <w:tcPr>
            <w:tcW w:w="1993" w:type="pct"/>
            <w:vAlign w:val="center"/>
            <w:textDirection w:val="lrTb"/>
            <w:noWrap w:val="false"/>
          </w:tcPr>
          <w:p>
            <w:pPr>
              <w:jc w:val="center"/>
              <w:spacing w:line="4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道路等级</w:t>
            </w:r>
            <w:r/>
          </w:p>
        </w:tc>
        <w:tc>
          <w:tcPr>
            <w:tcW w:w="3006" w:type="pct"/>
            <w:vAlign w:val="center"/>
            <w:textDirection w:val="lrTb"/>
            <w:noWrap w:val="false"/>
          </w:tcPr>
          <w:p>
            <w:pPr>
              <w:jc w:val="center"/>
              <w:spacing w:line="4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每平方米积尘含量（M）</w:t>
            </w:r>
            <w:r/>
          </w:p>
        </w:tc>
      </w:tr>
      <w:tr>
        <w:trPr>
          <w:jc w:val="center"/>
          <w:trHeight w:val="510"/>
        </w:trPr>
        <w:tc>
          <w:tcPr>
            <w:tcW w:w="1993"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一级</w:t>
            </w:r>
            <w:r/>
          </w:p>
        </w:tc>
        <w:tc>
          <w:tcPr>
            <w:tcW w:w="3006"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M≤6克</w:t>
            </w:r>
            <w:r/>
          </w:p>
        </w:tc>
      </w:tr>
      <w:tr>
        <w:trPr>
          <w:jc w:val="center"/>
          <w:trHeight w:val="510"/>
        </w:trPr>
        <w:tc>
          <w:tcPr>
            <w:tcW w:w="1993"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二级</w:t>
            </w:r>
            <w:r/>
          </w:p>
        </w:tc>
        <w:tc>
          <w:tcPr>
            <w:tcW w:w="3006"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M≤8克</w:t>
            </w:r>
            <w:r/>
          </w:p>
        </w:tc>
      </w:tr>
      <w:tr>
        <w:trPr>
          <w:jc w:val="center"/>
          <w:trHeight w:val="470"/>
        </w:trPr>
        <w:tc>
          <w:tcPr>
            <w:tcW w:w="1993"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三级</w:t>
            </w:r>
            <w:r/>
          </w:p>
        </w:tc>
        <w:tc>
          <w:tcPr>
            <w:tcW w:w="3006"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M≤10克</w:t>
            </w:r>
            <w:r/>
          </w:p>
        </w:tc>
      </w:tr>
    </w:tbl>
    <w:p>
      <w:pP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ind w:firstLine="560"/>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表3：公厕保洁作业考核细则（满分100分）</w:t>
      </w:r>
      <w:r/>
    </w:p>
    <w:tbl>
      <w:tblPr>
        <w:tblStyle w:val="924"/>
        <w:tblW w:w="5346" w:type="pct"/>
        <w:tblInd w:w="-402" w:type="dxa"/>
        <w:tblLayout w:type="fixed"/>
        <w:tblCellMar>
          <w:left w:w="108" w:type="dxa"/>
          <w:top w:w="0" w:type="dxa"/>
          <w:right w:w="108" w:type="dxa"/>
          <w:bottom w:w="0" w:type="dxa"/>
        </w:tblCellMar>
        <w:tblLook w:val="04A0" w:firstRow="1" w:lastRow="0" w:firstColumn="1" w:lastColumn="0" w:noHBand="0" w:noVBand="1"/>
      </w:tblPr>
      <w:tblGrid>
        <w:gridCol w:w="1550"/>
        <w:gridCol w:w="7577"/>
      </w:tblGrid>
      <w:tr>
        <w:trPr>
          <w:trHeight w:val="503"/>
        </w:trPr>
        <w:tc>
          <w:tcPr>
            <w:tcBorders>
              <w:top w:val="single" w:color="000000" w:sz="4" w:space="0"/>
              <w:left w:val="single" w:color="000000" w:sz="4" w:space="0"/>
              <w:bottom w:val="single" w:color="000000" w:sz="4" w:space="0"/>
              <w:right w:val="single" w:color="000000" w:sz="4" w:space="0"/>
            </w:tcBorders>
            <w:tcW w:w="849" w:type="pct"/>
            <w:vAlign w:val="bottom"/>
            <w:textDirection w:val="lrTb"/>
            <w:noWrap/>
          </w:tcPr>
          <w:p>
            <w:pPr>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4150" w:type="pct"/>
            <w:vAlign w:val="bottom"/>
            <w:textDirection w:val="lrTb"/>
            <w:noWrap/>
          </w:tcPr>
          <w:p>
            <w:pPr>
              <w:jc w:val="center"/>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考核标准</w:t>
            </w:r>
            <w:r/>
          </w:p>
        </w:tc>
      </w:tr>
      <w:tr>
        <w:trPr>
          <w:trHeight w:val="503"/>
        </w:trPr>
        <w:tc>
          <w:tcPr>
            <w:tcBorders>
              <w:top w:val="none" w:color="000000" w:sz="4" w:space="0"/>
              <w:left w:val="single" w:color="000000" w:sz="4" w:space="0"/>
              <w:right w:val="single" w:color="000000" w:sz="4" w:space="0"/>
            </w:tcBorders>
            <w:tcW w:w="849" w:type="pct"/>
            <w:vAlign w:val="center"/>
            <w:vMerge w:val="restart"/>
            <w:textDirection w:val="lrTb"/>
            <w:noWrap/>
          </w:tcPr>
          <w:p>
            <w:pPr>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质量标准</w:t>
            </w:r>
            <w:r/>
          </w:p>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(70分)</w:t>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地面整洁：污渍、痰迹，烟头（烟灰），漂浮物，每1处扣1分</w:t>
            </w:r>
            <w:r/>
          </w:p>
        </w:tc>
      </w:tr>
      <w:tr>
        <w:trPr>
          <w:trHeight w:val="503"/>
        </w:trPr>
        <w:tc>
          <w:tcPr>
            <w:tcBorders>
              <w:left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地面整洁：有积水扣1分。</w:t>
            </w:r>
            <w:r/>
          </w:p>
        </w:tc>
      </w:tr>
      <w:tr>
        <w:trPr>
          <w:trHeight w:val="503"/>
        </w:trPr>
        <w:tc>
          <w:tcPr>
            <w:tcBorders>
              <w:left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墙壁净：有垃圾、污渍、蛛网、野广告、乱涂乱画等，每1处扣1分。</w:t>
            </w:r>
            <w:r/>
          </w:p>
        </w:tc>
      </w:tr>
      <w:tr>
        <w:trPr>
          <w:trHeight w:val="503"/>
        </w:trPr>
        <w:tc>
          <w:tcPr>
            <w:tcBorders>
              <w:left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厕位净：便池有积粪，每一处扣3分。</w:t>
            </w:r>
            <w:r/>
          </w:p>
        </w:tc>
      </w:tr>
      <w:tr>
        <w:trPr>
          <w:trHeight w:val="503"/>
        </w:trPr>
        <w:tc>
          <w:tcPr>
            <w:tcBorders>
              <w:left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厕位净：污垢现象，每一处扣1分。</w:t>
            </w:r>
            <w:r/>
          </w:p>
        </w:tc>
      </w:tr>
      <w:tr>
        <w:trPr>
          <w:trHeight w:val="503"/>
        </w:trPr>
        <w:tc>
          <w:tcPr>
            <w:tcBorders>
              <w:left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厕位净：未配置纸篓、纸篓未套垃圾袋，每一处扣1分。</w:t>
            </w:r>
            <w:r/>
          </w:p>
        </w:tc>
      </w:tr>
      <w:tr>
        <w:trPr>
          <w:trHeight w:val="503"/>
        </w:trPr>
        <w:tc>
          <w:tcPr>
            <w:tcBorders>
              <w:left w:val="single" w:color="000000" w:sz="4" w:space="0"/>
              <w:right w:val="single" w:color="000000" w:sz="4" w:space="0"/>
            </w:tcBorders>
            <w:tcW w:w="849" w:type="pct"/>
            <w:vAlign w:val="center"/>
            <w:vMerge w:val="continue"/>
            <w:textDirection w:val="lrTb"/>
            <w:noWrap/>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擅自关闭公厕的，每处扣5分；擅自关闭公厕厕位的，每处扣1分。</w:t>
            </w:r>
            <w:r/>
          </w:p>
        </w:tc>
      </w:tr>
      <w:tr>
        <w:trPr>
          <w:trHeight w:val="503"/>
        </w:trPr>
        <w:tc>
          <w:tcPr>
            <w:tcBorders>
              <w:left w:val="single" w:color="000000" w:sz="4" w:space="0"/>
              <w:bottom w:val="single" w:color="000000" w:sz="4" w:space="0"/>
              <w:right w:val="single" w:color="000000" w:sz="4" w:space="0"/>
            </w:tcBorders>
            <w:tcW w:w="849" w:type="pct"/>
            <w:vAlign w:val="center"/>
            <w:vMerge w:val="continue"/>
            <w:textDirection w:val="lrTb"/>
            <w:noWrap/>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周边净：公厕3米范围内保洁不到位的（生活垃圾积存），每处扣2分。</w:t>
            </w:r>
            <w:r/>
          </w:p>
        </w:tc>
      </w:tr>
      <w:tr>
        <w:trPr>
          <w:trHeight w:val="503"/>
        </w:trPr>
        <w:tc>
          <w:tcPr>
            <w:tcBorders>
              <w:top w:val="none" w:color="000000" w:sz="4" w:space="0"/>
              <w:left w:val="single" w:color="000000" w:sz="4" w:space="0"/>
              <w:bottom w:val="single" w:color="000000" w:sz="4" w:space="0"/>
              <w:right w:val="single" w:color="000000" w:sz="4" w:space="0"/>
            </w:tcBorders>
            <w:tcW w:w="849" w:type="pct"/>
            <w:vAlign w:val="center"/>
            <w:vMerge w:val="restart"/>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设施标准</w:t>
            </w:r>
            <w:r/>
          </w:p>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(20分)</w:t>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门前未安装无障碍设施的，扣3分。</w:t>
            </w:r>
            <w:r/>
          </w:p>
        </w:tc>
      </w:tr>
      <w:tr>
        <w:trPr>
          <w:trHeight w:val="1006"/>
        </w:trPr>
        <w:tc>
          <w:tcPr>
            <w:tcBorders>
              <w:top w:val="none" w:color="000000" w:sz="4" w:space="0"/>
              <w:left w:val="single" w:color="000000" w:sz="4" w:space="0"/>
              <w:bottom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照明、通风设施缺失，扣2分；</w:t>
            </w:r>
            <w:r/>
          </w:p>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照明设施、通风设施无故不使用的，扣1分；照明、通风设施脏污的扣1分；</w:t>
            </w:r>
            <w:r/>
          </w:p>
        </w:tc>
      </w:tr>
      <w:tr>
        <w:trPr>
          <w:trHeight w:val="503"/>
        </w:trPr>
        <w:tc>
          <w:tcPr>
            <w:tcBorders>
              <w:top w:val="none" w:color="000000" w:sz="4" w:space="0"/>
              <w:left w:val="single" w:color="000000" w:sz="4" w:space="0"/>
              <w:bottom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门窗、隔断、洗手盆等损坏，未在24小时内修复的，每处扣1分。</w:t>
            </w:r>
            <w:r/>
          </w:p>
        </w:tc>
      </w:tr>
      <w:tr>
        <w:trPr>
          <w:trHeight w:val="519"/>
        </w:trPr>
        <w:tc>
          <w:tcPr>
            <w:tcBorders>
              <w:top w:val="none" w:color="000000" w:sz="4" w:space="0"/>
              <w:left w:val="single" w:color="000000" w:sz="4" w:space="0"/>
              <w:bottom w:val="single" w:color="auto"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便池、便器、阀门等洁具损坏，未在36小时内修复的，每处扣1分；</w:t>
            </w:r>
            <w:r/>
          </w:p>
          <w:p>
            <w:pPr>
              <w:pStyle w:val="930"/>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公厕标识缺失每个扣2分，破损的每个扣1分。</w:t>
            </w:r>
            <w:r/>
          </w:p>
        </w:tc>
      </w:tr>
      <w:tr>
        <w:trPr>
          <w:trHeight w:val="519"/>
        </w:trPr>
        <w:tc>
          <w:tcPr>
            <w:tcBorders>
              <w:top w:val="single" w:color="auto" w:sz="4" w:space="0"/>
              <w:left w:val="single" w:color="000000" w:sz="4" w:space="0"/>
              <w:bottom w:val="single" w:color="000000" w:sz="4" w:space="0"/>
              <w:right w:val="single" w:color="000000" w:sz="4" w:space="0"/>
            </w:tcBorders>
            <w:tcW w:w="849" w:type="pct"/>
            <w:vAlign w:val="center"/>
            <w:textDirection w:val="lrTb"/>
            <w:noWrap w:val="false"/>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文明作业（10分）</w:t>
            </w:r>
            <w:r/>
          </w:p>
        </w:tc>
        <w:tc>
          <w:tcPr>
            <w:tcBorders>
              <w:top w:val="single" w:color="auto" w:sz="4" w:space="0"/>
              <w:left w:val="none" w:color="000000" w:sz="4" w:space="0"/>
              <w:bottom w:val="single" w:color="000000" w:sz="4" w:space="0"/>
              <w:right w:val="single" w:color="000000" w:sz="4" w:space="0"/>
            </w:tcBorders>
            <w:tcW w:w="4150" w:type="pct"/>
            <w:vAlign w:val="center"/>
            <w:textDirection w:val="lrTb"/>
            <w:noWrap/>
          </w:tcPr>
          <w:p>
            <w:pPr>
              <w:pStyle w:val="930"/>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在公厕管理间、工具间使用明火、煤气、大功率电器、违规住人留宿过夜，每例扣1分。作业工具不规范，不符合使用要求，每例扣1分。</w:t>
            </w:r>
            <w:r/>
          </w:p>
        </w:tc>
      </w:tr>
    </w:tbl>
    <w:p>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contextualSpacing/>
        <w:spacing w:line="578" w:lineRule="exact"/>
        <w:rPr>
          <w:rFonts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第二部分：专项考核细则</w:t>
      </w:r>
      <w:r/>
    </w:p>
    <w:p>
      <w:pPr>
        <w:ind w:firstLine="2520"/>
        <w:spacing w:line="360" w:lineRule="auto"/>
        <w:rPr>
          <w:rFonts w:ascii="仿宋" w:hAnsi="仿宋" w:eastAsia="仿宋" w:cs="仿宋"/>
          <w:b/>
          <w:color w:val="auto"/>
          <w:sz w:val="32"/>
          <w:szCs w:val="32"/>
          <w:highlight w:val="none"/>
        </w:rPr>
      </w:pPr>
      <w:r>
        <w:rPr>
          <w:rFonts w:hint="eastAsia" w:ascii="仿宋" w:hAnsi="仿宋" w:eastAsia="仿宋" w:cs="仿宋"/>
          <w:color w:val="auto"/>
          <w:sz w:val="28"/>
          <w:szCs w:val="28"/>
          <w:highlight w:val="none"/>
        </w:rPr>
        <w:t xml:space="preserve">表4：专项考核细则</w:t>
      </w:r>
      <w:r/>
    </w:p>
    <w:tbl>
      <w:tblPr>
        <w:tblStyle w:val="924"/>
        <w:tblW w:w="5671" w:type="pct"/>
        <w:jc w:val="center"/>
        <w:tblLayout w:type="fixed"/>
        <w:tblCellMar>
          <w:left w:w="108" w:type="dxa"/>
          <w:top w:w="0" w:type="dxa"/>
          <w:right w:w="108" w:type="dxa"/>
          <w:bottom w:w="0" w:type="dxa"/>
        </w:tblCellMar>
        <w:tblLook w:val="04A0" w:firstRow="1" w:lastRow="0" w:firstColumn="1" w:lastColumn="0" w:noHBand="0" w:noVBand="1"/>
      </w:tblPr>
      <w:tblGrid>
        <w:gridCol w:w="3472"/>
        <w:gridCol w:w="6210"/>
      </w:tblGrid>
      <w:tr>
        <w:trPr>
          <w:jc w:val="center"/>
          <w:trHeight w:val="127"/>
        </w:trPr>
        <w:tc>
          <w:tcPr>
            <w:tcBorders>
              <w:top w:val="single" w:color="000000" w:sz="4" w:space="0"/>
              <w:left w:val="single" w:color="000000" w:sz="4" w:space="0"/>
              <w:bottom w:val="single" w:color="auto" w:sz="4" w:space="0"/>
              <w:right w:val="single" w:color="000000" w:sz="4" w:space="0"/>
            </w:tcBorders>
            <w:tcW w:w="1793" w:type="pct"/>
            <w:vAlign w:val="bottom"/>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206" w:type="pct"/>
            <w:vAlign w:val="bottom"/>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扣分标准</w:t>
            </w:r>
            <w:r/>
          </w:p>
        </w:tc>
      </w:tr>
      <w:tr>
        <w:trPr>
          <w:jc w:val="center"/>
          <w:trHeight w:val="1404"/>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人员管理</w:t>
            </w:r>
            <w:r/>
          </w:p>
          <w:p>
            <w:pPr>
              <w:jc w:val="center"/>
              <w:keepLines w:val="0"/>
              <w:keepNext w:val="0"/>
              <w:pageBreakBefore w:val="0"/>
              <w:spacing w:line="400" w:lineRule="exact"/>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（当月平均每日上线率=当月平均每日工牌上线人数/标段合同额定服务人数*100%，每人当月在排班时段内的上线时间应超过排班时间的90%，计入当月上线总人数。其中以下情况不记为上线时间：① 脱岗：在排班时间内，人员离开排班区域超过15分钟；②异常离线：在排班时间内，人员设备没有点位超过15分钟；③违规滞留：在排班时间内，人员在排班区域内没有移动超过15分钟；④多设备佩戴：系统监测到人员同时佩戴多个设备且超过30分钟）</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1、按照合同约定配置人员工牌，人员工牌上线率考核扣分=（95%-当月平均每日上线率）*N，</w:t>
            </w:r>
            <w:r/>
          </w:p>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当月平均每日上线率大于95%（含）,N=0;</w:t>
            </w:r>
            <w:r/>
          </w:p>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当月平均每日上线率大于90%（含）小于95%的，N=1;</w:t>
            </w:r>
            <w:r/>
          </w:p>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当月平均每日上线率大于85%（含）小于90%的，N=2;</w:t>
            </w:r>
            <w:r/>
          </w:p>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当月平均每日上线率小于85%的，N=3;</w:t>
            </w:r>
            <w:r/>
          </w:p>
          <w:p>
            <w:pPr>
              <w:ind w:left="0" w:right="11" w:firstLine="0"/>
              <w:jc w:val="left"/>
              <w:keepLines w:val="0"/>
              <w:keepNext w:val="0"/>
              <w:pageBreakBefore w:val="0"/>
              <w:spacing w:after="120" w:line="40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2、发现设备长期（连续3天以上的，或月度累计5天以上的）异常离线的每个扣0.1分；</w:t>
            </w:r>
            <w:r/>
          </w:p>
        </w:tc>
      </w:tr>
      <w:tr>
        <w:trPr>
          <w:jc w:val="center"/>
          <w:trHeight w:val="660"/>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场地</w:t>
            </w:r>
            <w:r>
              <w:rPr>
                <w:rFonts w:hint="eastAsia" w:ascii="仿宋" w:hAnsi="仿宋" w:eastAsia="仿宋" w:cs="仿宋"/>
                <w:color w:val="auto"/>
                <w:sz w:val="24"/>
                <w:szCs w:val="24"/>
                <w:highlight w:val="none"/>
              </w:rPr>
              <w:t xml:space="preserve">管理</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ind w:left="0" w:right="11" w:firstLine="0"/>
              <w:jc w:val="left"/>
              <w:keepLines w:val="0"/>
              <w:keepNext w:val="0"/>
              <w:pageBreakBefore w:val="0"/>
              <w:spacing w:after="120"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车辆停车场出入口及场地内无硬化、硬化不连续，破损、黄土裸露的，每次扣2分。</w:t>
            </w:r>
            <w:r/>
          </w:p>
        </w:tc>
      </w:tr>
      <w:tr>
        <w:trPr>
          <w:jc w:val="center"/>
          <w:trHeight w:val="25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安全管理</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未建立安全责任制度，未按要求开展安全教育培训的，每次扣2分。</w:t>
            </w:r>
            <w:r/>
          </w:p>
        </w:tc>
      </w:tr>
      <w:tr>
        <w:trPr>
          <w:jc w:val="center"/>
          <w:trHeight w:val="16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污物排放</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乱排污水、卸垃圾的，每辆次扣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r>
      <w:tr>
        <w:trPr>
          <w:jc w:val="center"/>
          <w:trHeight w:val="171"/>
        </w:trPr>
        <w:tc>
          <w:tcPr>
            <w:tcBorders>
              <w:top w:val="none" w:color="000000"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配合监督检查</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阻挠妨碍考核人员正常检查工作的，每次扣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251"/>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有责投诉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12345电话受理、各信访渠道交办的市民投诉，经确认有责的，每次扣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251"/>
        </w:trPr>
        <w:tc>
          <w:tcPr>
            <w:tcBorders>
              <w:top w:val="none" w:color="000000" w:sz="4" w:space="0"/>
              <w:left w:val="single" w:color="000000" w:sz="4" w:space="0"/>
              <w:bottom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发生有责投诉和有责管理事件后，未在规定的时间内整改到位的扣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137"/>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信访、行政处罚、媒体曝光等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行政机关给予行政处罚，信访事由成立的，每次扣5分</w:t>
            </w:r>
            <w:r/>
          </w:p>
        </w:tc>
      </w:tr>
      <w:tr>
        <w:trPr>
          <w:jc w:val="center"/>
          <w:trHeight w:val="137"/>
        </w:trPr>
        <w:tc>
          <w:tcPr>
            <w:tcBorders>
              <w:left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上级督办和新闻媒体曝光，经确认有责的，每次扣</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137"/>
        </w:trPr>
        <w:tc>
          <w:tcPr>
            <w:tcBorders>
              <w:left w:val="single" w:color="000000" w:sz="4" w:space="0"/>
              <w:bottom w:val="single" w:color="auto"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none" w:color="000000" w:sz="4" w:space="0"/>
              <w:left w:val="none" w:color="000000" w:sz="4" w:space="0"/>
              <w:bottom w:val="single" w:color="auto"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市级以上检查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评价</w:t>
            </w:r>
            <w:r>
              <w:rPr>
                <w:rFonts w:hint="eastAsia" w:ascii="仿宋" w:hAnsi="仿宋" w:eastAsia="仿宋" w:cs="仿宋"/>
                <w:color w:val="auto"/>
                <w:sz w:val="24"/>
                <w:szCs w:val="24"/>
                <w:highlight w:val="none"/>
              </w:rPr>
              <w:t xml:space="preserve">失分的，每次扣</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251"/>
        </w:trPr>
        <w:tc>
          <w:tcPr>
            <w:tcBorders>
              <w:top w:val="single" w:color="auto" w:sz="4" w:space="0"/>
              <w:left w:val="single" w:color="auto" w:sz="4" w:space="0"/>
              <w:right w:val="single" w:color="auto" w:sz="4" w:space="0"/>
            </w:tcBorders>
            <w:tcW w:w="1793" w:type="pct"/>
            <w:vAlign w:val="center"/>
            <w:vMerge w:val="restart"/>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应急保障</w:t>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扫雪除冰等应急保障或重大活动保障落实不到位，每次</w:t>
            </w:r>
            <w:r>
              <w:rPr>
                <w:rFonts w:hint="eastAsia" w:ascii="仿宋" w:hAnsi="仿宋" w:eastAsia="仿宋" w:cs="仿宋"/>
                <w:color w:val="auto"/>
                <w:sz w:val="24"/>
                <w:szCs w:val="24"/>
                <w:highlight w:val="none"/>
              </w:rPr>
              <w:t xml:space="preserve">扣</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254"/>
        </w:trPr>
        <w:tc>
          <w:tcPr>
            <w:tcBorders>
              <w:left w:val="single" w:color="auto" w:sz="4" w:space="0"/>
              <w:bottom w:val="single" w:color="auto" w:sz="4" w:space="0"/>
              <w:right w:val="single" w:color="auto" w:sz="4" w:space="0"/>
            </w:tcBorders>
            <w:tcW w:w="1793" w:type="pct"/>
            <w:vAlign w:val="center"/>
            <w:vMerge w:val="continue"/>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扫雪除冰检查中发现未按照合同约定配置除雪设备数量和物资的，每次扣5分。</w:t>
            </w:r>
            <w:r/>
          </w:p>
        </w:tc>
      </w:tr>
    </w:tbl>
    <w:p>
      <w:pP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合同附件</w:t>
      </w:r>
      <w:r>
        <w:rPr>
          <w:rFonts w:ascii="仿宋" w:hAnsi="仿宋" w:eastAsia="仿宋" w:cs="仿宋"/>
          <w:color w:val="auto"/>
          <w:sz w:val="24"/>
          <w:highlight w:val="none"/>
        </w:rPr>
        <w:t xml:space="preserve">3</w:t>
      </w:r>
      <w:r/>
    </w:p>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城市环卫工人工资专用账户资金监管协议</w:t>
      </w:r>
      <w:r/>
    </w:p>
    <w:p>
      <w:pPr>
        <w:jc w:val="left"/>
        <w:spacing w:line="298"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left"/>
        <w:spacing w:before="104" w:line="221" w:lineRule="auto"/>
        <w:rPr>
          <w:rFonts w:ascii="仿宋" w:hAnsi="仿宋" w:eastAsia="仿宋" w:cs="仿宋"/>
          <w:color w:val="auto"/>
          <w:sz w:val="24"/>
          <w:highlight w:val="none"/>
        </w:rPr>
      </w:pPr>
      <w:r>
        <w:rPr>
          <w:rFonts w:hint="eastAsia" w:ascii="仿宋" w:hAnsi="仿宋" w:eastAsia="仿宋" w:cs="仿宋"/>
          <w:color w:val="auto"/>
          <w:spacing w:val="25"/>
          <w:sz w:val="24"/>
          <w:highlight w:val="none"/>
        </w:rPr>
        <w:t xml:space="preserve">甲方(采购人): </w:t>
      </w:r>
      <w:r/>
    </w:p>
    <w:p>
      <w:pPr>
        <w:jc w:val="left"/>
        <w:spacing w:before="166" w:line="221" w:lineRule="auto"/>
        <w:rPr>
          <w:rFonts w:ascii="仿宋" w:hAnsi="仿宋" w:eastAsia="仿宋" w:cs="仿宋"/>
          <w:color w:val="auto"/>
          <w:sz w:val="24"/>
          <w:highlight w:val="none"/>
        </w:rPr>
      </w:pPr>
      <w:r>
        <w:rPr>
          <w:rFonts w:hint="eastAsia" w:ascii="仿宋" w:hAnsi="仿宋" w:eastAsia="仿宋" w:cs="仿宋"/>
          <w:color w:val="auto"/>
          <w:spacing w:val="21"/>
          <w:sz w:val="24"/>
          <w:highlight w:val="none"/>
        </w:rPr>
        <w:t xml:space="preserve">乙方(中标人): </w:t>
      </w:r>
      <w:r/>
    </w:p>
    <w:p>
      <w:pPr>
        <w:jc w:val="left"/>
        <w:spacing w:before="187" w:line="221" w:lineRule="auto"/>
        <w:rPr>
          <w:rFonts w:ascii="仿宋" w:hAnsi="仿宋" w:eastAsia="仿宋" w:cs="仿宋"/>
          <w:color w:val="auto"/>
          <w:sz w:val="24"/>
          <w:highlight w:val="none"/>
        </w:rPr>
      </w:pPr>
      <w:r>
        <w:rPr>
          <w:rFonts w:hint="eastAsia" w:ascii="仿宋" w:hAnsi="仿宋" w:eastAsia="仿宋" w:cs="仿宋"/>
          <w:color w:val="auto"/>
          <w:spacing w:val="21"/>
          <w:sz w:val="24"/>
          <w:highlight w:val="none"/>
        </w:rPr>
        <w:t xml:space="preserve">丙方(银行): </w:t>
      </w:r>
      <w:r/>
    </w:p>
    <w:p>
      <w:pPr>
        <w:ind w:firstLine="629"/>
        <w:jc w:val="left"/>
        <w:spacing w:before="316" w:line="324" w:lineRule="auto"/>
        <w:rPr>
          <w:rFonts w:ascii="仿宋" w:hAnsi="仿宋" w:eastAsia="仿宋" w:cs="仿宋"/>
          <w:color w:val="auto"/>
          <w:sz w:val="24"/>
          <w:highlight w:val="none"/>
        </w:rPr>
      </w:pPr>
      <w:r>
        <w:rPr>
          <w:rFonts w:hint="eastAsia" w:ascii="仿宋" w:hAnsi="仿宋" w:eastAsia="仿宋" w:cs="仿宋"/>
          <w:color w:val="auto"/>
          <w:spacing w:val="2"/>
          <w:sz w:val="24"/>
          <w:highlight w:val="none"/>
        </w:rPr>
        <w:t xml:space="preserve">根据《住房城乡建设部等4部门关于建立城市环卫工人工资</w:t>
      </w:r>
      <w:r>
        <w:rPr>
          <w:rFonts w:hint="eastAsia" w:ascii="仿宋" w:hAnsi="仿宋" w:eastAsia="仿宋" w:cs="仿宋"/>
          <w:color w:val="auto"/>
          <w:sz w:val="24"/>
          <w:highlight w:val="none"/>
        </w:rPr>
        <w:t xml:space="preserve"> </w:t>
      </w:r>
      <w:r>
        <w:rPr>
          <w:rFonts w:hint="eastAsia" w:ascii="仿宋" w:hAnsi="仿宋" w:eastAsia="仿宋" w:cs="仿宋"/>
          <w:color w:val="auto"/>
          <w:spacing w:val="12"/>
          <w:sz w:val="24"/>
          <w:highlight w:val="none"/>
        </w:rPr>
        <w:t xml:space="preserve">专用账户制度的通知》(建城〔2025〕</w:t>
      </w:r>
      <w:r>
        <w:rPr>
          <w:rFonts w:hint="eastAsia" w:ascii="仿宋" w:hAnsi="仿宋" w:eastAsia="仿宋" w:cs="仿宋"/>
          <w:color w:val="auto"/>
          <w:spacing w:val="11"/>
          <w:sz w:val="24"/>
          <w:highlight w:val="none"/>
        </w:rPr>
        <w:t xml:space="preserve">39号)等要求，为保证</w:t>
      </w:r>
      <w:r>
        <w:rPr>
          <w:rFonts w:hint="eastAsia" w:ascii="仿宋" w:hAnsi="仿宋" w:eastAsia="仿宋" w:cs="仿宋"/>
          <w:color w:val="auto"/>
          <w:sz w:val="24"/>
          <w:highlight w:val="none"/>
        </w:rPr>
        <w:t xml:space="preserve">  </w:t>
      </w:r>
      <w:r>
        <w:rPr>
          <w:rFonts w:hint="eastAsia" w:ascii="仿宋" w:hAnsi="仿宋" w:eastAsia="仿宋" w:cs="仿宋"/>
          <w:color w:val="auto"/>
          <w:spacing w:val="-1"/>
          <w:sz w:val="24"/>
          <w:highlight w:val="none"/>
        </w:rPr>
        <w:t xml:space="preserve">城市环卫工人工资专用账户资金专款专用、按时足额发</w:t>
      </w:r>
      <w:r>
        <w:rPr>
          <w:rFonts w:hint="eastAsia" w:ascii="仿宋" w:hAnsi="仿宋" w:eastAsia="仿宋" w:cs="仿宋"/>
          <w:color w:val="auto"/>
          <w:spacing w:val="-2"/>
          <w:sz w:val="24"/>
          <w:highlight w:val="none"/>
        </w:rPr>
        <w:t xml:space="preserve">放，甲、</w:t>
      </w:r>
      <w:r>
        <w:rPr>
          <w:rFonts w:hint="eastAsia" w:ascii="仿宋" w:hAnsi="仿宋" w:eastAsia="仿宋" w:cs="仿宋"/>
          <w:color w:val="auto"/>
          <w:sz w:val="24"/>
          <w:highlight w:val="none"/>
        </w:rPr>
        <w:t xml:space="preserve"> </w:t>
      </w:r>
      <w:r>
        <w:rPr>
          <w:rFonts w:hint="eastAsia" w:ascii="仿宋" w:hAnsi="仿宋" w:eastAsia="仿宋" w:cs="仿宋"/>
          <w:color w:val="auto"/>
          <w:spacing w:val="-6"/>
          <w:sz w:val="24"/>
          <w:highlight w:val="none"/>
        </w:rPr>
        <w:t xml:space="preserve">乙双方委托丙方为本项目专户资金监管人，为项目专户</w:t>
      </w:r>
      <w:r>
        <w:rPr>
          <w:rFonts w:hint="eastAsia" w:ascii="仿宋" w:hAnsi="仿宋" w:eastAsia="仿宋" w:cs="仿宋"/>
          <w:color w:val="auto"/>
          <w:spacing w:val="-7"/>
          <w:sz w:val="24"/>
          <w:highlight w:val="none"/>
        </w:rPr>
        <w:t xml:space="preserve">资金提供</w:t>
      </w:r>
      <w:r>
        <w:rPr>
          <w:rFonts w:hint="eastAsia" w:ascii="仿宋" w:hAnsi="仿宋" w:eastAsia="仿宋" w:cs="仿宋"/>
          <w:color w:val="auto"/>
          <w:sz w:val="24"/>
          <w:highlight w:val="none"/>
        </w:rPr>
        <w:t xml:space="preserve">  </w:t>
      </w:r>
      <w:r>
        <w:rPr>
          <w:rFonts w:hint="eastAsia" w:ascii="仿宋" w:hAnsi="仿宋" w:eastAsia="仿宋" w:cs="仿宋"/>
          <w:color w:val="auto"/>
          <w:spacing w:val="-11"/>
          <w:sz w:val="24"/>
          <w:highlight w:val="none"/>
        </w:rPr>
        <w:t xml:space="preserve">管理。甲、乙、丙三方经友好协商，达成以下协议，并共同遵守。</w:t>
      </w:r>
      <w:r/>
    </w:p>
    <w:p>
      <w:pPr>
        <w:ind w:left="2750"/>
        <w:jc w:val="left"/>
        <w:spacing w:before="175" w:line="222" w:lineRule="auto"/>
        <w:widowControl/>
        <w:rPr>
          <w:rFonts w:ascii="仿宋" w:hAnsi="仿宋" w:eastAsia="仿宋" w:cs="仿宋"/>
          <w:color w:val="auto"/>
          <w:sz w:val="24"/>
          <w:highlight w:val="none"/>
        </w:rPr>
      </w:pPr>
      <w:r>
        <w:rPr>
          <w:rFonts w:hint="eastAsia" w:ascii="仿宋" w:hAnsi="仿宋" w:eastAsia="仿宋" w:cs="仿宋"/>
          <w:color w:val="auto"/>
          <w:spacing w:val="14"/>
          <w:sz w:val="24"/>
          <w:highlight w:val="none"/>
        </w:rPr>
        <w:t xml:space="preserve">第一章专户设立及管理</w:t>
      </w:r>
      <w:r/>
    </w:p>
    <w:p>
      <w:pPr>
        <w:ind w:left="629"/>
        <w:jc w:val="left"/>
        <w:spacing w:before="283" w:line="224" w:lineRule="auto"/>
        <w:widowControl/>
        <w:rPr>
          <w:rFonts w:ascii="仿宋" w:hAnsi="仿宋" w:eastAsia="仿宋" w:cs="仿宋"/>
          <w:color w:val="auto"/>
          <w:sz w:val="24"/>
          <w:highlight w:val="none"/>
        </w:rPr>
      </w:pPr>
      <w:r>
        <w:rPr>
          <w:rFonts w:hint="eastAsia" w:ascii="仿宋" w:hAnsi="仿宋" w:eastAsia="仿宋" w:cs="仿宋"/>
          <w:color w:val="auto"/>
          <w:spacing w:val="-19"/>
          <w:sz w:val="24"/>
          <w:highlight w:val="none"/>
        </w:rPr>
        <w:t xml:space="preserve">第一条专户开立</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乙方在丙方营业网点设立城市环卫工人工资专用账户，账号:</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;专用账户名称：</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；开户行：</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。该账户用于发放</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项目（采购包名称：</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）环卫工人工资，乙方不得擅自动用专户资金。该账户不得开通网银支付功能，不得出售支票等结算凭证。</w:t>
      </w:r>
      <w:r/>
    </w:p>
    <w:p>
      <w:pPr>
        <w:ind w:left="629"/>
        <w:jc w:val="left"/>
        <w:spacing w:before="154" w:line="223" w:lineRule="auto"/>
        <w:widowControl/>
        <w:rPr>
          <w:rFonts w:ascii="仿宋" w:hAnsi="仿宋" w:eastAsia="仿宋" w:cs="仿宋"/>
          <w:color w:val="auto"/>
          <w:sz w:val="24"/>
          <w:highlight w:val="none"/>
        </w:rPr>
      </w:pPr>
      <w:r>
        <w:rPr>
          <w:rFonts w:hint="eastAsia" w:ascii="仿宋" w:hAnsi="仿宋" w:eastAsia="仿宋" w:cs="仿宋"/>
          <w:color w:val="auto"/>
          <w:spacing w:val="-19"/>
          <w:sz w:val="24"/>
          <w:highlight w:val="none"/>
        </w:rPr>
        <w:t xml:space="preserve">第二条专户管理</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项目实施期间，丙方负责对环卫工人工资专户进行管理。丙方需根据本协议约定的条件办理环卫工人工资支付，不得挪作他用，确保专款专用。</w:t>
      </w:r>
      <w:r/>
    </w:p>
    <w:p>
      <w:pPr>
        <w:ind w:left="2750"/>
        <w:jc w:val="left"/>
        <w:spacing w:before="175" w:line="222" w:lineRule="auto"/>
        <w:widowControl/>
        <w:rPr>
          <w:rFonts w:ascii="仿宋" w:hAnsi="仿宋" w:eastAsia="仿宋" w:cs="仿宋"/>
          <w:color w:val="auto"/>
          <w:spacing w:val="14"/>
          <w:sz w:val="24"/>
          <w:highlight w:val="none"/>
        </w:rPr>
      </w:pPr>
      <w:r>
        <w:rPr>
          <w:rFonts w:hint="eastAsia" w:ascii="仿宋" w:hAnsi="仿宋" w:eastAsia="仿宋" w:cs="仿宋"/>
          <w:color w:val="auto"/>
          <w:spacing w:val="14"/>
          <w:sz w:val="24"/>
          <w:highlight w:val="none"/>
        </w:rPr>
        <w:t xml:space="preserve">第二章职责、期限</w:t>
      </w:r>
      <w:r/>
    </w:p>
    <w:p>
      <w:pPr>
        <w:ind w:left="629"/>
        <w:jc w:val="left"/>
        <w:spacing w:before="154" w:line="223" w:lineRule="auto"/>
        <w:widowControl/>
        <w:rPr>
          <w:rFonts w:ascii="仿宋" w:hAnsi="仿宋" w:eastAsia="仿宋" w:cs="仿宋"/>
          <w:color w:val="auto"/>
          <w:spacing w:val="-19"/>
          <w:sz w:val="24"/>
          <w:highlight w:val="none"/>
        </w:rPr>
      </w:pPr>
      <w:r>
        <w:rPr>
          <w:rFonts w:hint="eastAsia" w:ascii="仿宋" w:hAnsi="仿宋" w:eastAsia="仿宋" w:cs="仿宋"/>
          <w:color w:val="auto"/>
          <w:spacing w:val="-19"/>
          <w:sz w:val="24"/>
          <w:highlight w:val="none"/>
        </w:rPr>
        <w:t xml:space="preserve">第三条相关职责</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(一)甲方</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1.组织乙方开立环卫工人工资专用账户、签订资金管理三方协议。</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2.指导乙方建立环卫工人实名制管理台帐，督促乙方将实名制管理台账报送甲方、人力资源和社会保障等部门。</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3.及时审核乙方提交的实名制管理台账、工资支付表、考勤表等资料，向环卫工人工资专用账户支付环卫工人人工费，确保 乙方按时发放工资。</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4.负责审核环卫工人工资专用账户销户报告，审核通过后，出具同意撤销通知书。</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(二)乙方</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1.及时开立环卫工人工资专用账户。专用账户开立后30日内，向甲方备案。</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2.每月及时向甲方报送实名制管理台账、工资支付表、考勤表等资料，确保工资按月发放。</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3.工资发放后，应向甲方提供代发工资凭证。</w:t>
      </w:r>
      <w:r/>
    </w:p>
    <w:p>
      <w:pPr>
        <w:ind w:firstLine="488"/>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4.合同服务期结束或终止，需要撤销专用账户的；应及时向甲方报告，并将本项目无拖欠环卫工人工资情况公示30日后，向甲方出具无拖欠环卫工人工资承诺书。</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(三)丙方</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1.配合乙方开立环卫工人工资专用账户，负责资金监管，确保资金安全。</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2.根据甲方审核后的工资支付表等，及时将工资通过专用账户直接支付到环卫工人本人的银行账户。</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3.根据甲方提供的同意撤销通知书，按程序办理专用账户撤销手续。</w:t>
      </w:r>
      <w:r/>
    </w:p>
    <w:p>
      <w:pPr>
        <w:ind w:left="3239"/>
        <w:jc w:val="left"/>
        <w:spacing w:before="304" w:line="221" w:lineRule="auto"/>
        <w:widowControl/>
        <w:rPr>
          <w:rFonts w:ascii="仿宋" w:hAnsi="仿宋" w:eastAsia="仿宋" w:cs="仿宋"/>
          <w:color w:val="auto"/>
          <w:sz w:val="24"/>
          <w:highlight w:val="none"/>
        </w:rPr>
      </w:pPr>
      <w:r>
        <w:rPr>
          <w:rFonts w:hint="eastAsia" w:ascii="仿宋" w:hAnsi="仿宋" w:eastAsia="仿宋" w:cs="仿宋"/>
          <w:color w:val="auto"/>
          <w:spacing w:val="17"/>
          <w:sz w:val="24"/>
          <w:highlight w:val="none"/>
        </w:rPr>
        <w:t xml:space="preserve">第三章账户管理</w:t>
      </w:r>
      <w:r/>
    </w:p>
    <w:p>
      <w:pPr>
        <w:ind w:left="689"/>
        <w:jc w:val="left"/>
        <w:spacing w:before="306" w:line="224" w:lineRule="auto"/>
        <w:widowControl/>
        <w:rPr>
          <w:rFonts w:ascii="仿宋" w:hAnsi="仿宋" w:eastAsia="仿宋" w:cs="仿宋"/>
          <w:color w:val="auto"/>
          <w:sz w:val="24"/>
          <w:highlight w:val="none"/>
        </w:rPr>
      </w:pPr>
      <w:r>
        <w:rPr>
          <w:rFonts w:hint="eastAsia" w:ascii="仿宋" w:hAnsi="仿宋" w:eastAsia="仿宋" w:cs="仿宋"/>
          <w:color w:val="auto"/>
          <w:spacing w:val="-20"/>
          <w:sz w:val="24"/>
          <w:highlight w:val="none"/>
        </w:rPr>
        <w:t xml:space="preserve">第四条开户资料</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乙方须向丙方提供       、《人民币银行结算账户管理办法》规定的所需材料等资料。</w:t>
      </w:r>
      <w:r/>
    </w:p>
    <w:p>
      <w:pPr>
        <w:ind w:left="689"/>
        <w:jc w:val="left"/>
        <w:spacing w:before="123" w:line="224" w:lineRule="auto"/>
        <w:widowControl/>
        <w:rPr>
          <w:rFonts w:ascii="仿宋" w:hAnsi="仿宋" w:eastAsia="仿宋" w:cs="仿宋"/>
          <w:color w:val="auto"/>
          <w:sz w:val="24"/>
          <w:highlight w:val="none"/>
        </w:rPr>
      </w:pPr>
      <w:r>
        <w:rPr>
          <w:rFonts w:hint="eastAsia" w:ascii="仿宋" w:hAnsi="仿宋" w:eastAsia="仿宋" w:cs="仿宋"/>
          <w:color w:val="auto"/>
          <w:spacing w:val="-19"/>
          <w:sz w:val="24"/>
          <w:highlight w:val="none"/>
        </w:rPr>
        <w:t xml:space="preserve">第五条资金存入</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甲方应乙方要求采用第2种资金存入、拨付方式：</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1.乙方根据《项目合同》约定及项目运行、管理实际情况，确认《项目合同》人工费用总额为 </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元，每次拨付比例为</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 拨付金额为</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元，甲方应根据乙方确认的金额、比例，环卫项目服务合同约定的支付时间及财政拨款进度，按时足额将人工费用拨付至专用账户；约定的比例不足以支付环卫工人工资的，乙方应当按照甲方规定的时间补足。</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2.甲方按照环卫项目服务合同约定的支付时间及财政拨款进度，根据乙方提供的工资支付表等，根据乙方核算人工费用实际支出(不含社保，社保由乙方依法缴纳),按时足额将人工费 用拨付到乙方专用账户。丙方确认资金到账后对账户资金履行管理职责。</w:t>
      </w:r>
      <w:r/>
    </w:p>
    <w:p>
      <w:pPr>
        <w:ind w:left="689"/>
        <w:jc w:val="left"/>
        <w:spacing w:before="123" w:line="224" w:lineRule="auto"/>
        <w:widowControl/>
        <w:rPr>
          <w:rFonts w:ascii="仿宋" w:hAnsi="仿宋" w:eastAsia="仿宋" w:cs="仿宋"/>
          <w:color w:val="auto"/>
          <w:spacing w:val="-19"/>
          <w:sz w:val="24"/>
          <w:highlight w:val="none"/>
        </w:rPr>
      </w:pPr>
      <w:r>
        <w:rPr>
          <w:rFonts w:hint="eastAsia" w:ascii="仿宋" w:hAnsi="仿宋" w:eastAsia="仿宋" w:cs="仿宋"/>
          <w:color w:val="auto"/>
          <w:spacing w:val="-19"/>
          <w:sz w:val="24"/>
          <w:highlight w:val="none"/>
        </w:rPr>
        <w:t xml:space="preserve">第六条资金拨付</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乙方委托丙方代发环卫工人工资，向丙方提供经甲方审核后的工资支付表等材料。丙方仅对代发材料进行表面一致形式审查，不承担实质审查义务。乙方应对上述资料真实性、准确性、合法性、有效性承担责任。若因乙方原因导致工资发放错误、延期发放等情况，所引起的一切经济纠纷和法律责任由乙方承担，丙方不承担任何责任。丙方对代发材料进行形式审查后，及时将工资通过专用账户直接支付到环卫工人本人的银行账户。</w:t>
      </w:r>
      <w:r/>
    </w:p>
    <w:p>
      <w:pPr>
        <w:ind w:left="689"/>
        <w:jc w:val="left"/>
        <w:spacing w:before="306" w:line="224" w:lineRule="auto"/>
        <w:widowControl/>
        <w:rPr>
          <w:rFonts w:ascii="仿宋" w:hAnsi="仿宋" w:eastAsia="仿宋" w:cs="仿宋"/>
          <w:color w:val="auto"/>
          <w:spacing w:val="-20"/>
          <w:sz w:val="24"/>
          <w:highlight w:val="none"/>
        </w:rPr>
      </w:pPr>
      <w:r>
        <w:rPr>
          <w:rFonts w:hint="eastAsia" w:ascii="仿宋" w:hAnsi="仿宋" w:eastAsia="仿宋" w:cs="仿宋"/>
          <w:color w:val="auto"/>
          <w:spacing w:val="-20"/>
          <w:sz w:val="24"/>
          <w:highlight w:val="none"/>
        </w:rPr>
        <w:t xml:space="preserve">第七条账户监管</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甲方配合人力资源社会保障等相关部门对环卫工人工资支付全过程进行动态监管。</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丙方在本协议中所承担的监管责任，不应被视为对甲、乙两方的行为提供保证和其他形式的担保。丙方仅作为专户的资金监管人，除依据本协议履行约定的义务外，其对与其他任何事项(包括但不限于基础合同)的有效性、可行性、合理性、正确性、真 实性或合法性等不承担任何形式的责任或义务。</w:t>
      </w:r>
      <w:r/>
    </w:p>
    <w:p>
      <w:pPr>
        <w:ind w:left="3249"/>
        <w:jc w:val="left"/>
        <w:spacing w:before="144" w:line="222" w:lineRule="auto"/>
        <w:widowControl/>
        <w:rPr>
          <w:rFonts w:ascii="仿宋" w:hAnsi="仿宋" w:eastAsia="仿宋" w:cs="仿宋"/>
          <w:color w:val="auto"/>
          <w:sz w:val="24"/>
          <w:highlight w:val="none"/>
        </w:rPr>
      </w:pPr>
      <w:r>
        <w:rPr>
          <w:rFonts w:hint="eastAsia" w:ascii="仿宋" w:hAnsi="仿宋" w:eastAsia="仿宋" w:cs="仿宋"/>
          <w:color w:val="auto"/>
          <w:spacing w:val="18"/>
          <w:sz w:val="24"/>
          <w:highlight w:val="none"/>
        </w:rPr>
        <w:t xml:space="preserve">第四章专户撤销</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第八条 合同服务期结束或终止，需要撤销专用账户的，乙方应及时向甲方报告，并将环卫项目无拖欠环卫工人工资情况公示30日后，出具无拖欠环卫工人工资承诺书。丙方依据甲方提供的同意撤销通知书，按程序办理专用账户撤销手续。</w:t>
      </w:r>
      <w:r/>
    </w:p>
    <w:p>
      <w:pPr>
        <w:ind w:left="2769"/>
        <w:jc w:val="left"/>
        <w:spacing w:before="147" w:line="221" w:lineRule="auto"/>
        <w:widowControl/>
        <w:rPr>
          <w:rFonts w:ascii="仿宋" w:hAnsi="仿宋" w:eastAsia="仿宋" w:cs="仿宋"/>
          <w:color w:val="auto"/>
          <w:sz w:val="24"/>
          <w:highlight w:val="none"/>
        </w:rPr>
      </w:pPr>
      <w:r>
        <w:rPr>
          <w:rFonts w:hint="eastAsia" w:ascii="仿宋" w:hAnsi="仿宋" w:eastAsia="仿宋" w:cs="仿宋"/>
          <w:color w:val="auto"/>
          <w:spacing w:val="13"/>
          <w:sz w:val="24"/>
          <w:highlight w:val="none"/>
        </w:rPr>
        <w:t xml:space="preserve">第五章协议生效与终止</w:t>
      </w:r>
      <w:r/>
    </w:p>
    <w:p>
      <w:pPr>
        <w:ind w:left="689"/>
        <w:jc w:val="left"/>
        <w:spacing w:before="306" w:line="224" w:lineRule="auto"/>
        <w:widowControl/>
        <w:rPr>
          <w:rFonts w:ascii="仿宋" w:hAnsi="仿宋" w:eastAsia="仿宋" w:cs="仿宋"/>
          <w:color w:val="auto"/>
          <w:spacing w:val="-20"/>
          <w:sz w:val="24"/>
          <w:highlight w:val="none"/>
        </w:rPr>
      </w:pPr>
      <w:r>
        <w:rPr>
          <w:rFonts w:hint="eastAsia" w:ascii="仿宋" w:hAnsi="仿宋" w:eastAsia="仿宋" w:cs="仿宋"/>
          <w:color w:val="auto"/>
          <w:spacing w:val="-20"/>
          <w:sz w:val="24"/>
          <w:highlight w:val="none"/>
        </w:rPr>
        <w:t xml:space="preserve">第九条 协议生效</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6228715</wp:posOffset>
                </wp:positionH>
                <wp:positionV relativeFrom="paragraph">
                  <wp:posOffset>241300</wp:posOffset>
                </wp:positionV>
                <wp:extent cx="269875" cy="335280"/>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269875" cy="335280"/>
                        </a:xfrm>
                        <a:prstGeom prst="rect">
                          <a:avLst/>
                        </a:prstGeom>
                        <a:noFill/>
                        <a:ln>
                          <a:noFill/>
                        </a:ln>
                      </wps:spPr>
                      <wps:txbx>
                        <w:txbxContent>
                          <w:p>
                            <w:pPr>
                              <w:jc w:val="right"/>
                              <w:spacing w:before="20" w:line="219" w:lineRule="auto"/>
                              <w:widowControl/>
                              <w:rPr>
                                <w:rFonts w:ascii="宋体" w:hAnsi="宋体" w:cs="宋体"/>
                                <w:color w:val="000000"/>
                                <w:sz w:val="41"/>
                                <w:szCs w:val="41"/>
                                <w:lang w:eastAsia="en-US"/>
                              </w:rPr>
                            </w:pPr>
                            <w:r>
                              <w:rPr>
                                <w:rFonts w:ascii="宋体" w:hAnsi="宋体" w:cs="宋体"/>
                                <w:color w:val="000000"/>
                                <w:sz w:val="41"/>
                                <w:szCs w:val="41"/>
                                <w:lang w:eastAsia="en-US"/>
                              </w:rPr>
                            </w:r>
                            <w:r/>
                          </w:p>
                        </w:txbxContent>
                      </wps:txbx>
                      <wps:bodyPr lIns="0" tIns="0" rIns="0" bIns="0" upright="1"/>
                    </wps:wsp>
                  </a:graphicData>
                </a:graphic>
              </wp:anchor>
            </w:drawing>
          </mc:Choice>
          <mc:Fallback>
            <w:pict>
              <v:shape id="shape 7" o:spid="_x0000_s7" o:spt="202" type="#_x0000_t202" style="position:absolute;z-index:251665408;o:allowoverlap:true;o:allowincell:true;mso-position-horizontal-relative:text;margin-left:490.4pt;mso-position-horizontal:absolute;mso-position-vertical-relative:text;margin-top:19.0pt;mso-position-vertical:absolute;width:21.2pt;height:26.4pt;mso-wrap-distance-left:9.0pt;mso-wrap-distance-top:0.0pt;mso-wrap-distance-right:9.0pt;mso-wrap-distance-bottom:0.0pt;visibility:visible;" filled="f" stroked="f">
                <v:textbox inset="0,0,0,0">
                  <w:txbxContent>
                    <w:p>
                      <w:pPr>
                        <w:jc w:val="right"/>
                        <w:spacing w:before="20" w:line="219" w:lineRule="auto"/>
                        <w:widowControl/>
                        <w:rPr>
                          <w:rFonts w:ascii="宋体" w:hAnsi="宋体" w:cs="宋体"/>
                          <w:color w:val="000000"/>
                          <w:sz w:val="41"/>
                          <w:szCs w:val="41"/>
                          <w:lang w:eastAsia="en-US"/>
                        </w:rPr>
                      </w:pPr>
                      <w:r>
                        <w:rPr>
                          <w:rFonts w:ascii="宋体" w:hAnsi="宋体" w:cs="宋体"/>
                          <w:color w:val="000000"/>
                          <w:sz w:val="41"/>
                          <w:szCs w:val="41"/>
                          <w:lang w:eastAsia="en-US"/>
                        </w:rPr>
                      </w:r>
                      <w:r/>
                    </w:p>
                  </w:txbxContent>
                </v:textbox>
              </v:shape>
            </w:pict>
          </mc:Fallback>
        </mc:AlternateContent>
      </w:r>
      <w:r>
        <w:rPr>
          <w:rFonts w:hint="eastAsia" w:ascii="仿宋" w:hAnsi="仿宋" w:eastAsia="仿宋" w:cs="仿宋"/>
          <w:color w:val="auto"/>
          <w:spacing w:val="2"/>
          <w:sz w:val="24"/>
          <w:highlight w:val="none"/>
        </w:rPr>
        <w:t xml:space="preserve">本协议经甲、乙、丙三方法定代表人(负责人)或授权代理人签章并加盖公章或合同专用章之日起生效。</w:t>
      </w:r>
      <w:r/>
    </w:p>
    <w:p>
      <w:pPr>
        <w:ind w:left="689"/>
        <w:jc w:val="left"/>
        <w:spacing w:before="306" w:line="224" w:lineRule="auto"/>
        <w:widowControl/>
        <w:rPr>
          <w:rFonts w:ascii="仿宋" w:hAnsi="仿宋" w:eastAsia="仿宋" w:cs="仿宋"/>
          <w:color w:val="auto"/>
          <w:spacing w:val="-20"/>
          <w:sz w:val="24"/>
          <w:highlight w:val="none"/>
        </w:rPr>
      </w:pPr>
      <w:r>
        <w:rPr>
          <w:rFonts w:hint="eastAsia" w:ascii="仿宋" w:hAnsi="仿宋" w:eastAsia="仿宋" w:cs="仿宋"/>
          <w:color w:val="auto"/>
          <w:spacing w:val="-20"/>
          <w:sz w:val="24"/>
          <w:highlight w:val="none"/>
        </w:rPr>
        <w:t xml:space="preserve">第十条 协议终止</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丙方按照甲方、乙方按要求，取消环卫工人工资专用账户标 识后协议终止。</w:t>
      </w:r>
      <w:r/>
    </w:p>
    <w:p>
      <w:pPr>
        <w:ind w:left="2430"/>
        <w:jc w:val="left"/>
        <w:spacing w:before="165" w:line="221" w:lineRule="auto"/>
        <w:widowControl/>
        <w:rPr>
          <w:rFonts w:ascii="仿宋" w:hAnsi="仿宋" w:eastAsia="仿宋" w:cs="仿宋"/>
          <w:color w:val="auto"/>
          <w:sz w:val="24"/>
          <w:highlight w:val="none"/>
        </w:rPr>
      </w:pPr>
      <w:r>
        <w:rPr>
          <w:rFonts w:hint="eastAsia" w:ascii="仿宋" w:hAnsi="仿宋" w:eastAsia="仿宋" w:cs="仿宋"/>
          <w:color w:val="auto"/>
          <w:spacing w:val="12"/>
          <w:sz w:val="24"/>
          <w:highlight w:val="none"/>
        </w:rPr>
        <w:t xml:space="preserve">第六章违约责任和免责条件</w:t>
      </w:r>
      <w:r/>
    </w:p>
    <w:p>
      <w:pPr>
        <w:jc w:val="left"/>
        <w:spacing w:line="246"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第十一条 在项目实施过程中，甲方未根据乙方提交的实名制管理台账、工资支付表、考勤表等资料，及时拨付环卫工人人工费，以及乙方提供虚假资料挪用、套用资金的，相关行政主管部门按照其情节及相关规定追究过错方相关责任，与丙方无关。</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第十二条 除本协议另有约定，任何一方因违反本协议给他方造成损失的，应承担相应的赔偿责任，赔偿责任以实际直接损失为限。</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丙方因存在重大过错未按照合同约定的支付条件办理资金支付而形成的直接损失，丙方应承担相应的赔偿责任。专户出现被国家有关机关依法冻结、扣划的，丙方不承担责任。因甲方、乙方向丙方提供虚假材料导致的损失，丙方不承担相关责任，由提供虚假资料的过错方承担相关责任。</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甲方、乙方所从事的与本协议相关的活动均应符合法律法规，因违反法律法规规定并给丙方造成损失的，应对丙方损失承担赔偿责任。</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第十三条 如果本协议任何一方因不可抗力，不能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ind w:left="2430"/>
        <w:jc w:val="left"/>
        <w:spacing w:before="165" w:line="221" w:lineRule="auto"/>
        <w:widowControl/>
        <w:rPr>
          <w:rFonts w:ascii="仿宋" w:hAnsi="仿宋" w:eastAsia="仿宋" w:cs="仿宋"/>
          <w:color w:val="auto"/>
          <w:spacing w:val="12"/>
          <w:sz w:val="24"/>
          <w:highlight w:val="none"/>
        </w:rPr>
      </w:pPr>
      <w:r>
        <w:rPr>
          <w:rFonts w:hint="eastAsia" w:ascii="仿宋" w:hAnsi="仿宋" w:eastAsia="仿宋" w:cs="仿宋"/>
          <w:color w:val="auto"/>
          <w:spacing w:val="12"/>
          <w:sz w:val="24"/>
          <w:highlight w:val="none"/>
        </w:rPr>
        <w:t xml:space="preserve">第七章其他</w:t>
      </w:r>
      <w:r/>
    </w:p>
    <w:p>
      <w:pPr>
        <w:jc w:val="left"/>
        <w:spacing w:line="251"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第十四条 除法律、法规规定，行业主管部门要求，以及因本项目专用账户资金监管业务的需要和三方特别约定外，未经三方同意，协议任何一方不得向外提供涉及三方商业秘密的资料。</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第十五条 本协议生效后，甲、乙、丙三方中任何一方需要变更协议条款时，应经三方协商一致，并签订补充协议，补充协议与本协议具有同等法律效力。</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第十六条 本协议在履行过程中如发生争议，甲、乙、丙三方应首先通过友好协商解决，协商无法解决的，任意一方有权提交至甲方所在地人民法院通过诉讼解决。</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第十七条 本协议一式叁份，甲方、乙方、丙方各执壹份，每份具有同等法律效力。</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(以下无正文，仅为    、    、签署《城市环卫工人工资专用账户资金监管协议》之签章）</w:t>
      </w:r>
      <w:r/>
    </w:p>
    <w:p>
      <w:pPr>
        <w:ind w:firstLine="629"/>
        <w:jc w:val="left"/>
        <w:spacing w:before="316" w:line="324" w:lineRule="auto"/>
        <w:rPr>
          <w:rFonts w:ascii="仿宋" w:hAnsi="仿宋" w:eastAsia="仿宋" w:cs="仿宋"/>
          <w:color w:val="auto"/>
          <w:spacing w:val="2"/>
          <w:sz w:val="24"/>
          <w:highlight w:val="none"/>
        </w:rPr>
      </w:pPr>
      <w:r>
        <w:rPr>
          <w:rFonts w:ascii="仿宋" w:hAnsi="仿宋" w:eastAsia="仿宋" w:cs="仿宋"/>
          <w:color w:val="auto"/>
          <w:spacing w:val="2"/>
          <w:sz w:val="24"/>
          <w:highlight w:val="none"/>
        </w:rPr>
      </w:r>
      <w:r/>
    </w:p>
    <w:p>
      <w:pPr>
        <w:pStyle w:val="930"/>
        <w:jc w:val="left"/>
        <w:spacing w:before="105" w:line="223" w:lineRule="auto"/>
        <w:widowControl/>
        <w:rPr>
          <w:rFonts w:ascii="仿宋" w:hAnsi="仿宋" w:eastAsia="仿宋" w:cs="仿宋"/>
          <w:color w:val="auto"/>
          <w:highlight w:val="none"/>
          <w:lang w:eastAsia="zh-CN"/>
        </w:rPr>
      </w:pPr>
      <w:r>
        <w:rPr>
          <w:rFonts w:hint="eastAsia" w:ascii="仿宋" w:hAnsi="仿宋" w:eastAsia="仿宋" w:cs="仿宋"/>
          <w:color w:val="auto"/>
          <w:spacing w:val="30"/>
          <w:highlight w:val="none"/>
          <w:lang w:eastAsia="zh-CN"/>
        </w:rPr>
        <w:t xml:space="preserve">甲方(签章):</w:t>
      </w:r>
      <w:r>
        <w:rPr>
          <w:rFonts w:hint="eastAsia" w:ascii="仿宋" w:hAnsi="仿宋" w:eastAsia="仿宋" w:cs="仿宋"/>
          <w:color w:val="auto"/>
          <w:spacing w:val="48"/>
          <w:highlight w:val="none"/>
          <w:lang w:eastAsia="zh-CN"/>
        </w:rPr>
        <w:t xml:space="preserve">              </w:t>
      </w:r>
      <w:r>
        <w:rPr>
          <w:rFonts w:hint="eastAsia" w:ascii="仿宋" w:hAnsi="仿宋" w:eastAsia="仿宋" w:cs="仿宋"/>
          <w:color w:val="auto"/>
          <w:spacing w:val="21"/>
          <w:highlight w:val="none"/>
          <w:lang w:eastAsia="zh-CN"/>
        </w:rPr>
        <w:t xml:space="preserve">法定代表人(负责人)</w:t>
      </w:r>
      <w:r/>
    </w:p>
    <w:p>
      <w:pPr>
        <w:ind w:firstLine="4662"/>
        <w:jc w:val="left"/>
        <w:spacing w:before="192" w:line="222" w:lineRule="auto"/>
        <w:rPr>
          <w:rFonts w:ascii="仿宋" w:hAnsi="仿宋" w:eastAsia="仿宋" w:cs="仿宋"/>
          <w:color w:val="auto"/>
          <w:sz w:val="24"/>
          <w:highlight w:val="none"/>
        </w:rPr>
      </w:pPr>
      <w:r>
        <w:rPr>
          <w:rFonts w:hint="eastAsia" w:ascii="仿宋" w:hAnsi="仿宋" w:eastAsia="仿宋" w:cs="仿宋"/>
          <w:color w:val="auto"/>
          <w:spacing w:val="-9"/>
          <w:sz w:val="24"/>
          <w:highlight w:val="none"/>
        </w:rPr>
        <w:t xml:space="preserve">或授权代理人（签字或盖章）：</w:t>
      </w:r>
      <w:r/>
    </w:p>
    <w:p>
      <w:pPr>
        <w:ind w:firstLine="4800"/>
        <w:jc w:val="left"/>
        <w:spacing w:before="104" w:line="222" w:lineRule="auto"/>
        <w:rPr>
          <w:rFonts w:ascii="仿宋" w:hAnsi="仿宋" w:eastAsia="仿宋" w:cs="仿宋"/>
          <w:color w:val="auto"/>
          <w:spacing w:val="-35"/>
          <w:sz w:val="24"/>
          <w:highlight w:val="none"/>
        </w:rPr>
      </w:pPr>
      <w:r>
        <w:rPr>
          <w:rFonts w:hint="eastAsia" w:ascii="仿宋" w:hAnsi="仿宋" w:eastAsia="仿宋" w:cs="仿宋"/>
          <w:color w:val="auto"/>
          <w:spacing w:val="30"/>
          <w:sz w:val="24"/>
          <w:highlight w:val="none"/>
        </w:rPr>
        <w:t xml:space="preserve">日期： 年  月  日</w:t>
      </w:r>
      <w:r/>
    </w:p>
    <w:p>
      <w:pPr>
        <w:ind w:left="10" w:firstLine="2380"/>
        <w:jc w:val="left"/>
        <w:spacing w:before="104" w:line="222" w:lineRule="auto"/>
        <w:rPr>
          <w:rFonts w:ascii="仿宋" w:hAnsi="仿宋" w:eastAsia="仿宋" w:cs="仿宋"/>
          <w:color w:val="auto"/>
          <w:spacing w:val="-35"/>
          <w:sz w:val="24"/>
          <w:highlight w:val="none"/>
        </w:rPr>
      </w:pPr>
      <w:r>
        <w:rPr>
          <w:rFonts w:ascii="仿宋" w:hAnsi="仿宋" w:eastAsia="仿宋" w:cs="仿宋"/>
          <w:color w:val="auto"/>
          <w:spacing w:val="-35"/>
          <w:sz w:val="24"/>
          <w:highlight w:val="none"/>
        </w:rPr>
      </w:r>
      <w:r/>
    </w:p>
    <w:p>
      <w:pPr>
        <w:ind w:left="10" w:firstLine="2040"/>
        <w:jc w:val="left"/>
        <w:spacing w:before="104" w:line="222" w:lineRule="auto"/>
        <w:rPr>
          <w:rFonts w:ascii="仿宋" w:hAnsi="仿宋" w:eastAsia="仿宋" w:cs="仿宋"/>
          <w:color w:val="auto"/>
          <w:spacing w:val="-35"/>
          <w:sz w:val="24"/>
          <w:highlight w:val="none"/>
        </w:rPr>
      </w:pPr>
      <w:r>
        <w:rPr>
          <w:rFonts w:ascii="仿宋" w:hAnsi="仿宋" w:eastAsia="仿宋" w:cs="仿宋"/>
          <w:color w:val="auto"/>
          <w:spacing w:val="-35"/>
          <w:sz w:val="24"/>
          <w:highlight w:val="none"/>
        </w:rPr>
      </w:r>
      <w:r/>
    </w:p>
    <w:p>
      <w:pPr>
        <w:pStyle w:val="930"/>
        <w:ind w:left="10"/>
        <w:jc w:val="left"/>
        <w:spacing w:before="105" w:line="223" w:lineRule="auto"/>
        <w:widowControl/>
        <w:rPr>
          <w:rFonts w:ascii="仿宋" w:hAnsi="仿宋" w:eastAsia="仿宋" w:cs="仿宋"/>
          <w:color w:val="auto"/>
          <w:highlight w:val="none"/>
          <w:lang w:eastAsia="zh-CN"/>
        </w:rPr>
      </w:pPr>
      <w:r>
        <w:rPr>
          <w:rFonts w:hint="eastAsia" w:ascii="仿宋" w:hAnsi="仿宋" w:eastAsia="仿宋" w:cs="仿宋"/>
          <w:color w:val="auto"/>
          <w:spacing w:val="30"/>
          <w:highlight w:val="none"/>
          <w:lang w:eastAsia="zh-CN"/>
        </w:rPr>
        <w:t xml:space="preserve">乙方(签章):</w:t>
      </w:r>
      <w:r>
        <w:rPr>
          <w:rFonts w:hint="eastAsia" w:ascii="仿宋" w:hAnsi="仿宋" w:eastAsia="仿宋" w:cs="仿宋"/>
          <w:color w:val="auto"/>
          <w:spacing w:val="45"/>
          <w:highlight w:val="none"/>
          <w:lang w:eastAsia="zh-CN"/>
        </w:rPr>
        <w:t xml:space="preserve">               </w:t>
      </w:r>
      <w:r>
        <w:rPr>
          <w:rFonts w:hint="eastAsia" w:ascii="仿宋" w:hAnsi="仿宋" w:eastAsia="仿宋" w:cs="仿宋"/>
          <w:color w:val="auto"/>
          <w:spacing w:val="21"/>
          <w:highlight w:val="none"/>
          <w:lang w:eastAsia="zh-CN"/>
        </w:rPr>
        <w:t xml:space="preserve">法定代表人(负责人)</w:t>
      </w:r>
      <w:r/>
    </w:p>
    <w:p>
      <w:pPr>
        <w:ind w:firstLine="4662"/>
        <w:jc w:val="left"/>
        <w:spacing w:before="192" w:line="222" w:lineRule="auto"/>
        <w:rPr>
          <w:rFonts w:ascii="仿宋" w:hAnsi="仿宋" w:eastAsia="仿宋" w:cs="仿宋"/>
          <w:color w:val="auto"/>
          <w:spacing w:val="-35"/>
          <w:sz w:val="24"/>
          <w:highlight w:val="none"/>
        </w:rPr>
      </w:pPr>
      <w:r>
        <w:rPr>
          <w:rFonts w:hint="eastAsia" w:ascii="仿宋" w:hAnsi="仿宋" w:eastAsia="仿宋" w:cs="仿宋"/>
          <w:color w:val="auto"/>
          <w:spacing w:val="-9"/>
          <w:sz w:val="24"/>
          <w:highlight w:val="none"/>
        </w:rPr>
        <w:t xml:space="preserve">或授权代理人（签字或盖章）：</w:t>
      </w:r>
      <w:r/>
    </w:p>
    <w:p>
      <w:pPr>
        <w:ind w:firstLine="4800"/>
        <w:jc w:val="left"/>
        <w:spacing w:before="104" w:line="222" w:lineRule="auto"/>
        <w:rPr>
          <w:rFonts w:ascii="仿宋" w:hAnsi="仿宋" w:eastAsia="仿宋" w:cs="仿宋"/>
          <w:color w:val="auto"/>
          <w:spacing w:val="-35"/>
          <w:sz w:val="24"/>
          <w:highlight w:val="none"/>
        </w:rPr>
      </w:pPr>
      <w:r>
        <w:rPr>
          <w:rFonts w:hint="eastAsia" w:ascii="仿宋" w:hAnsi="仿宋" w:eastAsia="仿宋" w:cs="仿宋"/>
          <w:color w:val="auto"/>
          <w:spacing w:val="30"/>
          <w:sz w:val="24"/>
          <w:highlight w:val="none"/>
        </w:rPr>
        <w:t xml:space="preserve">日期： 年  月  日</w:t>
      </w:r>
      <w:r/>
    </w:p>
    <w:p>
      <w:pPr>
        <w:ind w:left="10" w:firstLine="2040"/>
        <w:jc w:val="left"/>
        <w:spacing w:before="104" w:line="222" w:lineRule="auto"/>
        <w:rPr>
          <w:rFonts w:ascii="仿宋" w:hAnsi="仿宋" w:eastAsia="仿宋" w:cs="仿宋"/>
          <w:color w:val="auto"/>
          <w:spacing w:val="-35"/>
          <w:sz w:val="24"/>
          <w:highlight w:val="none"/>
        </w:rPr>
      </w:pPr>
      <w:r>
        <w:rPr>
          <w:rFonts w:ascii="仿宋" w:hAnsi="仿宋" w:eastAsia="仿宋" w:cs="仿宋"/>
          <w:color w:val="auto"/>
          <w:spacing w:val="-35"/>
          <w:sz w:val="24"/>
          <w:highlight w:val="none"/>
        </w:rPr>
      </w:r>
      <w:r/>
    </w:p>
    <w:p>
      <w:pPr>
        <w:ind w:left="10" w:firstLine="2040"/>
        <w:jc w:val="left"/>
        <w:spacing w:before="104" w:line="222" w:lineRule="auto"/>
        <w:rPr>
          <w:rFonts w:ascii="仿宋" w:hAnsi="仿宋" w:eastAsia="仿宋" w:cs="仿宋"/>
          <w:color w:val="auto"/>
          <w:spacing w:val="-35"/>
          <w:sz w:val="24"/>
          <w:highlight w:val="none"/>
        </w:rPr>
      </w:pPr>
      <w:r>
        <w:rPr>
          <w:rFonts w:ascii="仿宋" w:hAnsi="仿宋" w:eastAsia="仿宋" w:cs="仿宋"/>
          <w:color w:val="auto"/>
          <w:spacing w:val="-35"/>
          <w:sz w:val="24"/>
          <w:highlight w:val="none"/>
        </w:rPr>
      </w:r>
      <w:r/>
    </w:p>
    <w:p>
      <w:pPr>
        <w:pStyle w:val="930"/>
        <w:ind w:left="10"/>
        <w:jc w:val="left"/>
        <w:spacing w:before="105" w:line="223" w:lineRule="auto"/>
        <w:widowControl/>
        <w:rPr>
          <w:rFonts w:ascii="仿宋" w:hAnsi="仿宋" w:eastAsia="仿宋" w:cs="仿宋"/>
          <w:color w:val="auto"/>
          <w:highlight w:val="none"/>
          <w:lang w:eastAsia="zh-CN"/>
        </w:rPr>
      </w:pPr>
      <w:r>
        <w:rPr>
          <w:rFonts w:hint="eastAsia" w:ascii="仿宋" w:hAnsi="仿宋" w:eastAsia="仿宋" w:cs="仿宋"/>
          <w:color w:val="auto"/>
          <w:spacing w:val="30"/>
          <w:highlight w:val="none"/>
          <w:lang w:eastAsia="zh-CN"/>
        </w:rPr>
        <w:t xml:space="preserve">丙方(签章):                  </w:t>
      </w:r>
      <w:r>
        <w:rPr>
          <w:rFonts w:hint="eastAsia" w:ascii="仿宋" w:hAnsi="仿宋" w:eastAsia="仿宋" w:cs="仿宋"/>
          <w:color w:val="auto"/>
          <w:spacing w:val="21"/>
          <w:highlight w:val="none"/>
          <w:lang w:eastAsia="zh-CN"/>
        </w:rPr>
        <w:t xml:space="preserve">法定代表人(负责人)</w:t>
      </w:r>
      <w:r/>
    </w:p>
    <w:p>
      <w:pPr>
        <w:ind w:firstLine="4662"/>
        <w:jc w:val="left"/>
        <w:spacing w:before="192" w:line="222" w:lineRule="auto"/>
        <w:rPr>
          <w:rFonts w:ascii="仿宋" w:hAnsi="仿宋" w:eastAsia="仿宋" w:cs="仿宋"/>
          <w:color w:val="auto"/>
          <w:sz w:val="24"/>
          <w:highlight w:val="none"/>
        </w:rPr>
      </w:pPr>
      <w:r>
        <w:rPr>
          <w:rFonts w:hint="eastAsia" w:ascii="仿宋" w:hAnsi="仿宋" w:eastAsia="仿宋" w:cs="仿宋"/>
          <w:color w:val="auto"/>
          <w:spacing w:val="-9"/>
          <w:sz w:val="24"/>
          <w:highlight w:val="none"/>
        </w:rPr>
        <w:t xml:space="preserve">或授权代理人（签字或盖章）：</w:t>
      </w:r>
      <w:r/>
    </w:p>
    <w:p>
      <w:pPr>
        <w:ind w:firstLine="4800"/>
        <w:jc w:val="left"/>
        <w:spacing w:before="104" w:line="222" w:lineRule="auto"/>
        <w:rPr>
          <w:rFonts w:ascii="仿宋" w:hAnsi="仿宋" w:eastAsia="仿宋" w:cs="仿宋"/>
          <w:color w:val="auto"/>
          <w:spacing w:val="-35"/>
          <w:sz w:val="24"/>
          <w:highlight w:val="none"/>
        </w:rPr>
      </w:pPr>
      <w:r>
        <w:rPr>
          <w:rFonts w:hint="eastAsia" w:ascii="仿宋" w:hAnsi="仿宋" w:eastAsia="仿宋" w:cs="仿宋"/>
          <w:color w:val="auto"/>
          <w:spacing w:val="30"/>
          <w:sz w:val="24"/>
          <w:highlight w:val="none"/>
        </w:rPr>
        <w:t xml:space="preserve">日期： 年  月  日</w:t>
      </w:r>
      <w:r/>
    </w:p>
    <w:p>
      <w:pPr>
        <w:jc w:val="left"/>
        <w:spacing w:line="328"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left"/>
        <w:spacing w:line="329"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629"/>
        <w:jc w:val="left"/>
        <w:spacing w:before="316" w:line="324" w:lineRule="auto"/>
        <w:rPr>
          <w:rFonts w:ascii="仿宋" w:hAnsi="仿宋" w:eastAsia="仿宋" w:cs="仿宋"/>
          <w:color w:val="auto"/>
          <w:spacing w:val="2"/>
          <w:sz w:val="24"/>
          <w:highlight w:val="none"/>
        </w:rPr>
        <w:sectPr>
          <w:footerReference w:type="default" r:id="rId15"/>
          <w:footnotePr/>
          <w:endnotePr/>
          <w:type w:val="nextPage"/>
          <w:pgSz w:w="11920" w:h="16840" w:orient="portrait"/>
          <w:pgMar w:top="1440" w:right="1800" w:bottom="1440" w:left="1800" w:header="0" w:footer="919" w:gutter="0"/>
          <w:cols w:num="1" w:sep="0" w:space="720" w:equalWidth="1"/>
          <w:docGrid w:linePitch="360"/>
        </w:sectPr>
      </w:pPr>
      <w:r>
        <w:rPr>
          <w:rFonts w:ascii="仿宋" w:hAnsi="仿宋" w:eastAsia="仿宋" w:cs="仿宋"/>
          <w:color w:val="auto"/>
          <w:spacing w:val="2"/>
          <w:sz w:val="24"/>
          <w:highlight w:val="none"/>
        </w:rPr>
      </w:r>
      <w:r/>
    </w:p>
    <w:p>
      <w:pP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pStyle w:val="1126"/>
        <w:ind w:left="0"/>
        <w:jc w:val="center"/>
        <w:rPr>
          <w:rFonts w:ascii="仿宋" w:hAnsi="仿宋" w:eastAsia="仿宋" w:cs="仿宋"/>
          <w:b/>
          <w:color w:val="auto"/>
          <w:sz w:val="30"/>
          <w:highlight w:val="none"/>
        </w:rPr>
      </w:pPr>
      <w:r>
        <w:rPr>
          <w:rFonts w:hint="eastAsia" w:ascii="仿宋" w:hAnsi="仿宋" w:eastAsia="仿宋" w:cs="仿宋"/>
          <w:b/>
          <w:color w:val="auto"/>
          <w:sz w:val="32"/>
          <w:szCs w:val="32"/>
          <w:highlight w:val="none"/>
        </w:rPr>
        <w:t xml:space="preserve">第六章 采购需求</w:t>
      </w:r>
      <w:bookmarkStart w:id="3" w:name="_Toc324452802"/>
      <w:r/>
      <w:bookmarkEnd w:id="3"/>
      <w:r/>
      <w:bookmarkStart w:id="4" w:name="_Toc322457054"/>
      <w:r/>
      <w:bookmarkEnd w:id="4"/>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1"/>
          <w:highlight w:val="none"/>
        </w:rPr>
        <w:t xml:space="preserve">一、采购标的</w:t>
      </w:r>
      <w:r>
        <w:rPr>
          <w:rFonts w:hint="eastAsia" w:ascii="仿宋" w:hAnsi="仿宋" w:eastAsia="仿宋" w:cs="仿宋"/>
          <w:b/>
          <w:bCs/>
          <w:color w:val="auto"/>
          <w:sz w:val="24"/>
          <w:highlight w:val="none"/>
        </w:rPr>
        <w:t xml:space="preserve">：泉山区环卫市场化保洁项目</w:t>
      </w:r>
      <w:r/>
    </w:p>
    <w:p>
      <w:pPr>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二、本项目不接受超过26146.02万元人民币（采购项目预算总金额）的投标报价；本项目共分为5个采购包，各采购包最高投标限价如下：</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采购包1：泉山区翟山、金山、奎山、泰山、七里沟办事处：不接受超过9235.7</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万元人民币的投标报价；</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采购包2：泉山区和平、王陵、永安办事处：不接受超过8210.39万元人民币的投标报价；</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采购包3：泉山区段庄、湖滨、火花办事处：不接受超过4389.57万元人民币的投标报价；</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采购包4：泉山区城北开发区、桃园办事处：不接受超过1873.28万元人民币的投标报价；</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采购包5：泉山区苏山、庞庄办事处：不接受超过2437.04万元人民币的投标报价；</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各采购包投标报价应包含完成本项目所需的全部费用，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采购人不再支付报价以外的任何费用。</w:t>
      </w:r>
      <w:r/>
    </w:p>
    <w:p>
      <w:pPr>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三、合同履行的期限：3年。</w:t>
      </w:r>
      <w:r/>
    </w:p>
    <w:p>
      <w:pPr>
        <w:spacing w:line="360" w:lineRule="auto"/>
        <w:rPr>
          <w:rFonts w:ascii="仿宋" w:hAnsi="仿宋" w:eastAsia="仿宋" w:cs="仿宋"/>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1"/>
          <w:highlight w:val="none"/>
        </w:rPr>
        <w:t xml:space="preserve">四、项目内容</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（一）作业范围</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1.道路作业区域：泉山区范围内城市主次干道、背街小巷等。</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2.公厕作业区域：城市主次干道、背街小巷沿线的公厕。</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有建筑物的道路两侧墙到墙，无建筑物立面的按照采购人要求保洁</w:t>
      </w:r>
      <w:r>
        <w:rPr>
          <w:rFonts w:hint="eastAsia" w:ascii="仿宋" w:hAnsi="仿宋" w:eastAsia="仿宋" w:cs="仿宋"/>
          <w:color w:val="auto"/>
          <w:sz w:val="24"/>
          <w:highlight w:val="none"/>
          <w:lang w:eastAsia="zh-CN"/>
        </w:rPr>
        <w:t xml:space="preserve">。</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w:t>
      </w:r>
      <w:r>
        <w:rPr>
          <w:rFonts w:hint="eastAsia" w:ascii="仿宋" w:hAnsi="仿宋" w:eastAsia="仿宋" w:cs="仿宋"/>
          <w:b/>
          <w:bCs/>
          <w:color w:val="auto"/>
          <w:sz w:val="24"/>
          <w:highlight w:val="none"/>
        </w:rPr>
        <w:t xml:space="preserve">作业内容、区域及标准</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1.作业内容：</w:t>
      </w:r>
      <w:r>
        <w:rPr>
          <w:rFonts w:hint="eastAsia" w:ascii="仿宋" w:hAnsi="仿宋" w:eastAsia="仿宋" w:cs="仿宋"/>
          <w:color w:val="auto"/>
          <w:sz w:val="24"/>
          <w:highlight w:val="none"/>
        </w:rPr>
        <w:t xml:space="preserve">市场化道路保洁；道路沿线绿化带、绿地漂浮物捡拾（包含果皮、纸屑、烟头、口香糖、饮料罐、塑料袋等），实现“一把扫帚扫到底”，市管、区管道路外侧大面积绿地（连片不易分割的绿地）及口袋公园，山体、河道立面等绿地不纳入；车道、人行道隔离护栏清洗；两侧建筑物（构筑物）等其他公共设施立面（1.8米以下）野广告清理；果皮箱、烟头收集器等环卫设施清洗保洁；立交桥保洁及立面清洗；公厕保洁（含粪便清运）；扫雪除冰、重大活动环境卫生保障等应急管理；城管部门交办的临时性任务等。</w:t>
      </w:r>
      <w:r/>
    </w:p>
    <w:p>
      <w:pPr>
        <w:ind w:firstLine="482"/>
        <w:spacing w:line="36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2.作业标准：</w:t>
      </w:r>
      <w:r>
        <w:rPr>
          <w:rFonts w:hint="eastAsia" w:ascii="仿宋" w:hAnsi="仿宋" w:eastAsia="仿宋" w:cs="仿宋"/>
          <w:color w:val="auto"/>
          <w:sz w:val="24"/>
          <w:highlight w:val="none"/>
        </w:rPr>
        <w:t xml:space="preserve">作业规范符合但不限于《市容环卫工程项目规范》（GB55013-2021）和《城市道路清扫保洁与质量评价标准》（CJJ/T126-2022）等现行标准规范。</w:t>
      </w:r>
      <w:r/>
    </w:p>
    <w:p>
      <w:pPr>
        <w:pStyle w:val="966"/>
        <w:ind w:left="0" w:right="0" w:firstLine="482"/>
        <w:spacing w:after="0" w:line="36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3.作业区域：</w:t>
      </w:r>
      <w:r>
        <w:rPr>
          <w:rFonts w:hint="eastAsia" w:ascii="仿宋" w:hAnsi="仿宋" w:eastAsia="仿宋" w:cs="仿宋"/>
          <w:color w:val="auto"/>
          <w:sz w:val="24"/>
          <w:highlight w:val="none"/>
        </w:rPr>
        <w:t xml:space="preserve">详见附件1：各采购包道路划分明细表（上述道路含</w:t>
      </w:r>
      <w:r>
        <w:rPr>
          <w:rFonts w:hint="eastAsia" w:ascii="仿宋" w:hAnsi="仿宋" w:eastAsia="仿宋" w:cs="仿宋"/>
          <w:color w:val="auto"/>
          <w:sz w:val="24"/>
          <w:highlight w:val="none"/>
          <w:lang w:val="en-US" w:eastAsia="zh-CN"/>
        </w:rPr>
        <w:t xml:space="preserve">天桥、</w:t>
      </w:r>
      <w:r>
        <w:rPr>
          <w:rFonts w:hint="eastAsia" w:ascii="仿宋" w:hAnsi="仿宋" w:eastAsia="仿宋" w:cs="仿宋"/>
          <w:color w:val="auto"/>
          <w:sz w:val="24"/>
          <w:highlight w:val="none"/>
        </w:rPr>
        <w:t xml:space="preserve">地道）</w:t>
      </w:r>
      <w:r/>
    </w:p>
    <w:p>
      <w:pPr>
        <w:pStyle w:val="966"/>
        <w:ind w:left="0" w:right="0" w:firstLine="1920"/>
        <w:spacing w:after="0"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详见附件2：各采购包公厕划分明细表</w:t>
      </w:r>
      <w:r/>
    </w:p>
    <w:p>
      <w:pPr>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（三）保洁时间要求：</w:t>
      </w:r>
      <w:r/>
    </w:p>
    <w:p>
      <w:pPr>
        <w:ind w:firstLine="480"/>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1.道路人工保洁时间</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道路保洁要求每日7：00前完成全覆盖普扫，一级道路保洁至22:00。</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二级道路保洁至21:00（其中12月至次年2月19:00-21:00，按不低于满勤的50%考虑；其余月份20:00-21:00，按不低于满勤的50%考虑）。</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三级道路保洁至19:00（其中12月至次年2月17:00-19:00，按不低于满勤的50%考虑；其余月份18:00-19:00，按不低于满勤的50%考虑）。</w:t>
      </w:r>
      <w:r/>
    </w:p>
    <w:p>
      <w:pPr>
        <w:ind w:firstLine="482"/>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2.道路机械化作业保洁时间</w:t>
      </w:r>
      <w:r/>
    </w:p>
    <w:p>
      <w:pPr>
        <w:ind w:firstLine="480"/>
        <w:spacing w:line="360" w:lineRule="auto"/>
        <w:rPr>
          <w:rFonts w:ascii="仿宋" w:hAnsi="仿宋" w:eastAsia="仿宋" w:cs="仿宋"/>
          <w:color w:val="auto"/>
          <w:sz w:val="32"/>
          <w:szCs w:val="32"/>
          <w:highlight w:val="none"/>
        </w:rPr>
      </w:pPr>
      <w:r>
        <w:rPr>
          <w:rFonts w:hint="eastAsia" w:ascii="仿宋" w:hAnsi="仿宋" w:eastAsia="仿宋" w:cs="仿宋"/>
          <w:color w:val="auto"/>
          <w:sz w:val="24"/>
          <w:highlight w:val="none"/>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spacing w:line="360" w:lineRule="auto"/>
        <w:widowControl/>
        <w:rPr>
          <w:rFonts w:ascii="仿宋" w:hAnsi="仿宋" w:eastAsia="仿宋" w:cs="仿宋"/>
          <w:color w:val="auto"/>
          <w:sz w:val="24"/>
          <w:highlight w:val="none"/>
        </w:rPr>
      </w:pPr>
      <w:r>
        <w:rPr>
          <w:rFonts w:hint="eastAsia" w:ascii="仿宋_GB2312" w:hAnsi="仿宋_GB2312" w:eastAsia="仿宋_GB2312" w:cs="仿宋_GB2312"/>
          <w:color w:val="auto"/>
          <w:sz w:val="24"/>
          <w:highlight w:val="none"/>
        </w:rPr>
        <w:t xml:space="preserve">车行道、人行道隔离护栏清洗每2周清洗一次。</w:t>
      </w:r>
      <w:r/>
    </w:p>
    <w:p>
      <w:pPr>
        <w:ind w:firstLine="480"/>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3.公厕开放及保洁时间</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（1）24小时开放。</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（2）保洁时间：三星标准3月20日至11月14日6:00～23:00、11月15日至次年3月19日6:00～22:00；二星标准3月20日至11月14日6:00～22:00、11月15日至次年3月19日6:00～21:00；一星标准全年6:00～20:00。</w:t>
      </w:r>
      <w:r/>
    </w:p>
    <w:p>
      <w:pPr>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bookmarkStart w:id="5" w:name="_Toc28096"/>
      <w:r>
        <w:rPr>
          <w:rFonts w:hint="eastAsia" w:ascii="仿宋" w:hAnsi="仿宋" w:eastAsia="仿宋" w:cs="仿宋"/>
          <w:b/>
          <w:bCs/>
          <w:color w:val="auto"/>
          <w:sz w:val="24"/>
          <w:highlight w:val="none"/>
        </w:rPr>
        <w:t xml:space="preserve">（四）保洁作业要求</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1.道路保洁作业要求：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有建筑物的道路两侧墙到墙，无建筑物立面的按照甲方要求。普扫作业应做到“五无五净”：无积存垃圾，无积水积泥，无烟蒂纸屑，无果皮等其他生活垃圾，无土石杂草；路面干净，绿地、绿化带和树圈干净，侧石干净，雨水井盖干净，果皮箱等环卫设施干净。</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机械化清扫保洁时间应避开城市道路交通高峰时段，原则上要求在07:00-09:00,17:00-19:00时段内严禁作业，具体禁止作业时间调整以交管、城管部门通知为准。冲洗作业时速≤20公里/小时，洗扫作业时速≤15公里/小时，洒水作业时速≤25公里/小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（3）人工作业：普扫，清扫，捡拾，快速巡回保洁（</w:t>
      </w:r>
      <w:r>
        <w:rPr>
          <w:rFonts w:hint="eastAsia" w:ascii="仿宋" w:hAnsi="仿宋" w:eastAsia="仿宋" w:cs="仿宋"/>
          <w:color w:val="auto"/>
          <w:sz w:val="24"/>
          <w:highlight w:val="none"/>
          <w:lang w:eastAsia="zh-CN"/>
        </w:rPr>
        <w:t xml:space="preserve">快速保洁车</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2.道路垃圾前端分类收集运输作业要求：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（1）分类收集容器更新维护。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（2）垃圾分类收集运输符合相关标准要求。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3.道路绿化带捡拾、立交桥保洁、公厕保洁（含粪便清运）；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4.护栏清洗：人工擦洗或机械清洗。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5.野广告清理：专人巡查、清理。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6.安全规定：机动车道严禁人工作业，确需作业的按法律法规做好安全防护措施。</w:t>
      </w:r>
      <w:r/>
    </w:p>
    <w:p>
      <w:pPr>
        <w:jc w:val="left"/>
        <w:spacing w:line="360" w:lineRule="auto"/>
        <w:widowControl/>
        <w:rPr>
          <w:rFonts w:ascii="仿宋" w:hAnsi="仿宋" w:eastAsia="仿宋" w:cs="仿宋"/>
          <w:b/>
          <w:color w:val="auto"/>
          <w:sz w:val="24"/>
          <w:szCs w:val="20"/>
          <w:highlight w:val="none"/>
        </w:rPr>
        <w:outlineLvl w:val="1"/>
      </w:pPr>
      <w:r>
        <w:rPr>
          <w:rFonts w:hint="eastAsia" w:ascii="仿宋" w:hAnsi="仿宋" w:eastAsia="仿宋" w:cs="仿宋"/>
          <w:b/>
          <w:color w:val="auto"/>
          <w:sz w:val="24"/>
          <w:szCs w:val="20"/>
          <w:highlight w:val="none"/>
        </w:rPr>
        <w:t xml:space="preserve">五、项目的人员、设备配置要求</w:t>
      </w:r>
      <w:bookmarkEnd w:id="5"/>
      <w:r/>
      <w:r/>
    </w:p>
    <w:p>
      <w:pPr>
        <w:ind w:firstLine="480"/>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（一）人员、设备专用原则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部成员专用原则：项目所有人员专门服务于本项目，不得用于其他项目中。项目部成员均不统计在作业人员（道路清扫保洁作业人员和其他作业人员）数量内。供应商为联合体的，项目经理应由联合体牵头单位的人员担任。</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设备（车辆）专用原则：供应商必须按照招标文件要求配备相关车辆设备，且承诺投入车辆均为该标段（采购包）专用车辆，不得用于其他标段（采购包）或其他项目，且主要作业车辆（高压清洗车、洗扫一体车、小型高压冲洗车）设备的所有权</w:t>
      </w:r>
      <w:r>
        <w:rPr>
          <w:rFonts w:hint="eastAsia" w:ascii="仿宋" w:hAnsi="仿宋" w:eastAsia="仿宋" w:cs="仿宋"/>
          <w:color w:val="auto"/>
          <w:sz w:val="24"/>
          <w:highlight w:val="none"/>
          <w:lang w:val="en-US" w:eastAsia="zh-CN"/>
        </w:rPr>
        <w:t xml:space="preserve">全部</w:t>
      </w:r>
      <w:r>
        <w:rPr>
          <w:rFonts w:hint="eastAsia" w:ascii="仿宋" w:hAnsi="仿宋" w:eastAsia="仿宋" w:cs="仿宋"/>
          <w:color w:val="auto"/>
          <w:sz w:val="24"/>
          <w:highlight w:val="none"/>
        </w:rPr>
        <w:t xml:space="preserve">属于供应商自有（以销售发票或机动车行驶证为准）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融雪剂撒布车</w:t>
      </w:r>
      <w:r>
        <w:rPr>
          <w:rFonts w:hint="eastAsia" w:ascii="仿宋" w:hAnsi="仿宋" w:eastAsia="仿宋" w:cs="仿宋"/>
          <w:color w:val="auto"/>
          <w:sz w:val="24"/>
          <w:highlight w:val="none"/>
          <w:lang w:val="en-US" w:eastAsia="zh-CN"/>
        </w:rPr>
        <w:t xml:space="preserve">的50%及以上</w:t>
      </w:r>
      <w:r>
        <w:rPr>
          <w:rFonts w:hint="eastAsia" w:ascii="仿宋" w:hAnsi="仿宋" w:eastAsia="仿宋" w:cs="仿宋"/>
          <w:color w:val="auto"/>
          <w:sz w:val="24"/>
          <w:highlight w:val="none"/>
        </w:rPr>
        <w:t xml:space="preserve">所有权属于供应商自有（以销售发票或机动车行驶证为准）。</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在本项目</w:t>
      </w:r>
      <w:r>
        <w:rPr>
          <w:rFonts w:hint="eastAsia" w:ascii="仿宋" w:hAnsi="仿宋" w:eastAsia="仿宋" w:cs="仿宋"/>
          <w:color w:val="auto"/>
          <w:sz w:val="24"/>
          <w:highlight w:val="none"/>
          <w:lang w:val="en-US" w:eastAsia="zh-CN"/>
        </w:rPr>
        <w:t xml:space="preserve">各采购包</w:t>
      </w:r>
      <w:r>
        <w:rPr>
          <w:rFonts w:hint="eastAsia" w:ascii="仿宋" w:hAnsi="仿宋" w:eastAsia="仿宋" w:cs="仿宋"/>
          <w:color w:val="auto"/>
          <w:sz w:val="24"/>
          <w:highlight w:val="none"/>
          <w:lang w:val="en-US" w:eastAsia="zh"/>
        </w:rPr>
        <w:t xml:space="preserve">中新增或更新的</w:t>
      </w:r>
      <w:r>
        <w:rPr>
          <w:rFonts w:hint="eastAsia" w:ascii="仿宋" w:hAnsi="仿宋" w:eastAsia="仿宋" w:cs="仿宋"/>
          <w:color w:val="auto"/>
          <w:sz w:val="24"/>
          <w:highlight w:val="none"/>
          <w:lang w:val="en-US" w:eastAsia="zh-CN"/>
        </w:rPr>
        <w:t xml:space="preserve">轻型环卫车辆中</w:t>
      </w:r>
      <w:r>
        <w:rPr>
          <w:rFonts w:hint="eastAsia" w:ascii="仿宋" w:hAnsi="仿宋" w:eastAsia="仿宋" w:cs="仿宋"/>
          <w:color w:val="auto"/>
          <w:sz w:val="24"/>
          <w:highlight w:val="none"/>
          <w:lang w:val="en-US" w:eastAsia="zh"/>
        </w:rPr>
        <w:t xml:space="preserve">新能源</w:t>
      </w:r>
      <w:r>
        <w:rPr>
          <w:rFonts w:hint="eastAsia" w:ascii="仿宋" w:hAnsi="仿宋" w:eastAsia="仿宋" w:cs="仿宋"/>
          <w:color w:val="auto"/>
          <w:sz w:val="24"/>
          <w:highlight w:val="none"/>
          <w:lang w:val="en-US" w:eastAsia="zh-CN"/>
        </w:rPr>
        <w:t xml:space="preserve">车辆</w:t>
      </w:r>
      <w:r>
        <w:rPr>
          <w:rFonts w:hint="eastAsia" w:ascii="仿宋" w:hAnsi="仿宋" w:eastAsia="仿宋" w:cs="仿宋"/>
          <w:color w:val="auto"/>
          <w:sz w:val="24"/>
          <w:highlight w:val="none"/>
          <w:lang w:val="en-US" w:eastAsia="zh"/>
        </w:rPr>
        <w:t xml:space="preserve">比例不低于80%。</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应充分了解徐州市新能源车辆上牌上路政策，如因上牌等问题造成的车辆被交警扣留等情况由投标人自行负责。</w:t>
      </w:r>
      <w:r>
        <w:rPr>
          <w:rFonts w:hint="eastAsia" w:ascii="仿宋" w:hAnsi="仿宋" w:eastAsia="仿宋" w:cs="仿宋"/>
          <w:color w:val="auto"/>
          <w:sz w:val="24"/>
          <w:highlight w:val="none"/>
        </w:rPr>
        <w:t xml:space="preserve">供应商为联合体的，设备所有权属于联合体所有。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3.信息化设备的管理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（1）人员、车辆必须按照市级城管部门统一要求安装智能监管设备，建设和服务费用由供应商承担，数据接入采购人指定的信息平台，便于管理。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（2）中标单位应加强对信息化设备的管理，派遣专人负责，同时制定信息化设备管理使用制度，保障信息化设备的正常使用。设备的网络维护等日常运行管理费用由供应商承担。</w:t>
      </w:r>
      <w:r/>
    </w:p>
    <w:p>
      <w:pPr>
        <w:ind w:firstLine="480"/>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（二）人员配置基本要求（不允许偏离，否则按无效标处理）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（1）环卫作业人员年龄符合相关政策要求。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（2）各采购包人员总数最低应满足下表要求：</w:t>
      </w:r>
      <w:r/>
    </w:p>
    <w:tbl>
      <w:tblPr>
        <w:tblStyle w:val="924"/>
        <w:tblpPr w:horzAnchor="page" w:tblpX="1763" w:vertAnchor="text" w:tblpY="155"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336"/>
        <w:gridCol w:w="1498"/>
        <w:gridCol w:w="1560"/>
        <w:gridCol w:w="1798"/>
        <w:gridCol w:w="1074"/>
        <w:gridCol w:w="1253"/>
      </w:tblGrid>
      <w:tr>
        <w:trPr>
          <w:trHeight w:val="39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区 域</w:t>
            </w:r>
            <w:r/>
          </w:p>
        </w:tc>
        <w:tc>
          <w:tcPr>
            <w:shd w:val="clear" w:color="auto" w:fill="ffffff"/>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道路保洁</w:t>
            </w:r>
            <w:r/>
          </w:p>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人员</w:t>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公厕保洁员</w:t>
            </w:r>
            <w:r/>
          </w:p>
        </w:tc>
        <w:tc>
          <w:tcPr>
            <w:shd w:val="clear" w:color="auto" w:fill="ffffff"/>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驾驶员</w:t>
            </w:r>
            <w:r/>
          </w:p>
        </w:tc>
        <w:tc>
          <w:tcPr>
            <w:shd w:val="clear" w:color="auto" w:fill="ffffff"/>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班组长</w:t>
            </w:r>
            <w:r/>
          </w:p>
        </w:tc>
        <w:tc>
          <w:tcPr>
            <w:shd w:val="clear" w:color="auto" w:fill="ffffff"/>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总人数</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采购包1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489</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采购包2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454</w:t>
            </w:r>
            <w:r/>
          </w:p>
        </w:tc>
      </w:tr>
      <w:tr>
        <w:trPr>
          <w:trHeight w:val="698"/>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采购包3</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225</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采购包4</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107</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采购包5</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132</w:t>
            </w:r>
            <w:r/>
          </w:p>
        </w:tc>
      </w:tr>
    </w:tbl>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固定一线作业人员不少于各采购包人数最低要求；一线现场作业人员年龄应符合《中华人民共和国劳动合同法》依法用工要求。班组长包括班长、主管、车队长，不包括供应商及为本项目组成的管理（治理）机构组成人员；道路保洁人员包括一线道路清扫、捡拾、快速巡回保洁人员等道路一线作业人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2、供应商提供满足项目部等人员办公所需要的场所。</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3、供应商须为作业人员提供工作服及必要的劳动防护用品。</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4、投标文件中提供《投标人对“作业人员配备要求”的承诺》的承诺文件，否则按照无效投标处理。</w:t>
      </w:r>
      <w:r/>
    </w:p>
    <w:p>
      <w:pPr>
        <w:numPr>
          <w:ilvl w:val="0"/>
          <w:numId w:val="5"/>
        </w:numPr>
        <w:ind w:firstLine="482"/>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设备（车辆）满足下列最低要求（不允许偏离，否则按无效标处理）</w:t>
      </w:r>
      <w:r/>
    </w:p>
    <w:tbl>
      <w:tblPr>
        <w:tblStyle w:val="924"/>
        <w:tblpPr w:horzAnchor="page" w:tblpX="631" w:vertAnchor="text" w:tblpY="101" w:leftFromText="180" w:topFromText="0" w:rightFromText="180" w:bottomFromText="0"/>
        <w:tblW w:w="10957" w:type="dxa"/>
        <w:tblInd w:w="0" w:type="dxa"/>
        <w:tblLayout w:type="fixed"/>
        <w:tblCellMar>
          <w:left w:w="108" w:type="dxa"/>
          <w:top w:w="0" w:type="dxa"/>
          <w:right w:w="108" w:type="dxa"/>
          <w:bottom w:w="0" w:type="dxa"/>
        </w:tblCellMar>
        <w:tblLook w:val="04A0" w:firstRow="1" w:lastRow="0" w:firstColumn="1" w:lastColumn="0" w:noHBand="0" w:noVBand="1"/>
      </w:tblPr>
      <w:tblGrid>
        <w:gridCol w:w="697"/>
        <w:gridCol w:w="534"/>
        <w:gridCol w:w="534"/>
        <w:gridCol w:w="714"/>
        <w:gridCol w:w="354"/>
        <w:gridCol w:w="534"/>
        <w:gridCol w:w="534"/>
        <w:gridCol w:w="534"/>
        <w:gridCol w:w="816"/>
        <w:gridCol w:w="756"/>
        <w:gridCol w:w="756"/>
        <w:gridCol w:w="756"/>
        <w:gridCol w:w="756"/>
        <w:gridCol w:w="585"/>
        <w:gridCol w:w="585"/>
        <w:gridCol w:w="756"/>
        <w:gridCol w:w="756"/>
      </w:tblGrid>
      <w:tr>
        <w:trPr>
          <w:trHeight w:val="940"/>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区域</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高压清洗车（台）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洗扫一体车（台）</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1吨小型高压冲洗车（台）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专用巡回捡拾车（台）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快速保洁车（台）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护栏清洗车（台）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融雪剂撒布车（台）</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雪滚(台)</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雪铲(</w:t>
            </w:r>
            <w:r>
              <w:rPr>
                <w:rFonts w:hint="eastAsia" w:ascii="宋体" w:hAnsi="宋体" w:cs="宋体"/>
                <w:color w:val="auto"/>
                <w:sz w:val="18"/>
                <w:szCs w:val="18"/>
                <w:highlight w:val="none"/>
                <w:lang w:val="en-US" w:eastAsia="zh-CN" w:bidi="ar"/>
              </w:rPr>
              <w:t xml:space="preserve">个</w:t>
            </w:r>
            <w:r>
              <w:rPr>
                <w:rFonts w:hint="eastAsia" w:ascii="宋体" w:hAnsi="宋体" w:cs="宋体"/>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洒水车（</w:t>
            </w:r>
            <w:r>
              <w:rPr>
                <w:rFonts w:hint="eastAsia" w:ascii="宋体" w:hAnsi="宋体" w:cs="宋体"/>
                <w:color w:val="auto"/>
                <w:sz w:val="18"/>
                <w:szCs w:val="18"/>
                <w:highlight w:val="none"/>
                <w:lang w:val="en-US" w:eastAsia="zh-CN" w:bidi="ar"/>
              </w:rPr>
              <w:t xml:space="preserve">个</w:t>
            </w:r>
            <w:r>
              <w:rPr>
                <w:rFonts w:hint="eastAsia" w:ascii="宋体" w:hAnsi="宋体" w:cs="宋体"/>
                <w:color w:val="auto"/>
                <w:sz w:val="18"/>
                <w:szCs w:val="18"/>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无人驾驶</w:t>
            </w:r>
            <w:r>
              <w:rPr>
                <w:rFonts w:hint="eastAsia" w:ascii="宋体" w:hAnsi="宋体" w:cs="宋体"/>
                <w:color w:val="auto"/>
                <w:sz w:val="18"/>
                <w:szCs w:val="18"/>
                <w:highlight w:val="none"/>
                <w:lang w:val="en-US" w:eastAsia="zh-CN" w:bidi="ar"/>
              </w:rPr>
              <w:t xml:space="preserve">清扫一体车</w:t>
            </w:r>
            <w:r>
              <w:rPr>
                <w:rFonts w:hint="eastAsia" w:ascii="宋体" w:hAnsi="宋体" w:cs="宋体"/>
                <w:color w:val="auto"/>
                <w:sz w:val="18"/>
                <w:szCs w:val="18"/>
                <w:highlight w:val="none"/>
                <w:lang w:bidi="ar"/>
              </w:rPr>
              <w:t xml:space="preserve">（台）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采购包3</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采购包4</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采购包5</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8"/>
        </w:trPr>
        <w:tc>
          <w:tcPr>
            <w:gridSpan w:val="17"/>
            <w:shd w:val="clear" w:color="auto" w:fill="ffffff"/>
            <w:tcBorders>
              <w:top w:val="single" w:color="000000" w:sz="4" w:space="0"/>
              <w:left w:val="single" w:color="000000" w:sz="4" w:space="0"/>
              <w:bottom w:val="single" w:color="000000" w:sz="4" w:space="0"/>
              <w:right w:val="single" w:color="000000" w:sz="4" w:space="0"/>
            </w:tcBorders>
            <w:tcW w:w="10957" w:type="dxa"/>
            <w:vAlign w:val="center"/>
            <w:textDirection w:val="lrTb"/>
            <w:noWrap w:val="false"/>
          </w:tcPr>
          <w:p>
            <w:pPr>
              <w:ind w:firstLine="180"/>
              <w:spacing w:line="360" w:lineRule="auto"/>
              <w:widowControl/>
              <w:rPr>
                <w:rFonts w:hint="eastAsia" w:ascii="仿宋" w:hAnsi="仿宋" w:eastAsia="仿宋" w:cs="仿宋"/>
                <w:color w:val="auto"/>
                <w:sz w:val="18"/>
                <w:szCs w:val="18"/>
                <w:highlight w:val="none"/>
                <w:lang w:bidi="ar"/>
              </w:rPr>
            </w:pPr>
            <w:r>
              <w:rPr>
                <w:rFonts w:hint="eastAsia" w:ascii="仿宋" w:hAnsi="仿宋" w:eastAsia="仿宋" w:cs="仿宋"/>
                <w:color w:val="auto"/>
                <w:sz w:val="18"/>
                <w:szCs w:val="18"/>
                <w:highlight w:val="none"/>
                <w:lang w:bidi="ar"/>
              </w:rPr>
              <w:t xml:space="preserve">注：</w:t>
            </w:r>
            <w:r/>
          </w:p>
          <w:p>
            <w:pPr>
              <w:ind w:firstLine="540"/>
              <w:spacing w:line="360" w:lineRule="auto"/>
              <w:widowControl/>
              <w:rPr>
                <w:rFonts w:hint="default" w:ascii="仿宋" w:hAnsi="仿宋" w:eastAsia="仿宋" w:cs="仿宋"/>
                <w:color w:val="auto"/>
                <w:sz w:val="18"/>
                <w:szCs w:val="18"/>
                <w:highlight w:val="none"/>
                <w:lang w:val="en-US" w:eastAsia="zh-CN" w:bidi="ar"/>
              </w:rPr>
            </w:pPr>
            <w:r>
              <w:rPr>
                <w:rFonts w:hint="eastAsia" w:ascii="仿宋" w:hAnsi="仿宋" w:eastAsia="仿宋" w:cs="仿宋"/>
                <w:color w:val="auto"/>
                <w:sz w:val="18"/>
                <w:szCs w:val="18"/>
                <w:highlight w:val="none"/>
                <w:lang w:val="en-US" w:eastAsia="zh-CN" w:bidi="ar"/>
              </w:rPr>
              <w:t xml:space="preserve">1.其中采购包1配置新能源高压清洗车、洗扫一体车4台，新能源1吨小型高压冲洗车9台；采购包2配置新能源高压清洗车、洗扫一体车3台，新能源1吨小型高压冲洗车7台；采购包3配置新能源高压清洗车、洗扫一体车3台，新能源1吨小型高压冲洗车5台；采购包4配置新能源高压清洗车、洗扫一体车2台，新能源1吨小型高压冲洗车3台；采购包5配置新能源高压清洗车、洗扫一体车2台，新能源1吨小型高压冲洗车2台。</w:t>
            </w:r>
            <w:r/>
          </w:p>
          <w:p>
            <w:pPr>
              <w:ind w:firstLine="540"/>
              <w:spacing w:line="360" w:lineRule="auto"/>
              <w:widowControl/>
              <w:rPr>
                <w:rFonts w:hint="eastAsia" w:ascii="仿宋" w:hAnsi="仿宋" w:eastAsia="仿宋" w:cs="仿宋"/>
                <w:color w:val="auto"/>
                <w:sz w:val="18"/>
                <w:szCs w:val="18"/>
                <w:highlight w:val="none"/>
                <w:lang w:val="en-US" w:eastAsia="zh-CN" w:bidi="ar"/>
              </w:rPr>
            </w:pPr>
            <w:r>
              <w:rPr>
                <w:rFonts w:hint="eastAsia" w:ascii="仿宋" w:hAnsi="仿宋" w:eastAsia="仿宋" w:cs="仿宋"/>
                <w:color w:val="auto"/>
                <w:sz w:val="18"/>
                <w:szCs w:val="18"/>
                <w:highlight w:val="none"/>
                <w:lang w:val="en-US" w:eastAsia="zh-CN" w:bidi="ar"/>
              </w:rPr>
              <w:t xml:space="preserve">2.</w:t>
            </w:r>
            <w:r>
              <w:rPr>
                <w:rFonts w:hint="eastAsia" w:ascii="仿宋" w:hAnsi="仿宋" w:eastAsia="仿宋" w:cs="仿宋"/>
                <w:color w:val="auto"/>
                <w:sz w:val="18"/>
                <w:szCs w:val="18"/>
                <w:highlight w:val="none"/>
                <w:lang w:bidi="ar"/>
              </w:rPr>
              <w:t xml:space="preserve">洒水车</w:t>
            </w:r>
            <w:r>
              <w:rPr>
                <w:rFonts w:hint="eastAsia" w:ascii="仿宋" w:hAnsi="仿宋" w:eastAsia="仿宋" w:cs="仿宋"/>
                <w:color w:val="auto"/>
                <w:sz w:val="18"/>
                <w:szCs w:val="18"/>
                <w:highlight w:val="none"/>
                <w:lang w:val="en-US" w:eastAsia="zh-CN" w:bidi="ar"/>
              </w:rPr>
              <w:t xml:space="preserve">应全部为新能源车辆。</w:t>
            </w:r>
            <w:r/>
          </w:p>
          <w:p>
            <w:pPr>
              <w:ind w:firstLine="540"/>
              <w:spacing w:line="360" w:lineRule="auto"/>
              <w:widowControl/>
              <w:rPr>
                <w:rFonts w:ascii="宋体" w:hAnsi="宋体" w:cs="宋体"/>
                <w:color w:val="auto"/>
                <w:sz w:val="18"/>
                <w:szCs w:val="18"/>
                <w:highlight w:val="none"/>
                <w:lang w:bidi="ar"/>
              </w:rPr>
            </w:pPr>
            <w:r>
              <w:rPr>
                <w:rFonts w:hint="eastAsia" w:ascii="仿宋" w:hAnsi="仿宋" w:eastAsia="仿宋" w:cs="仿宋"/>
                <w:color w:val="auto"/>
                <w:sz w:val="18"/>
                <w:szCs w:val="18"/>
                <w:highlight w:val="none"/>
                <w:lang w:val="en-US" w:eastAsia="zh-CN" w:bidi="ar"/>
              </w:rPr>
              <w:t xml:space="preserve">3.</w:t>
            </w:r>
            <w:r>
              <w:rPr>
                <w:rFonts w:hint="eastAsia" w:ascii="仿宋" w:hAnsi="仿宋" w:eastAsia="仿宋" w:cs="仿宋"/>
                <w:color w:val="auto"/>
                <w:sz w:val="18"/>
                <w:szCs w:val="18"/>
                <w:highlight w:val="none"/>
                <w:lang w:bidi="ar"/>
              </w:rPr>
              <w:t xml:space="preserve">合同签订后60日内，</w:t>
            </w:r>
            <w:r>
              <w:rPr>
                <w:rFonts w:hint="eastAsia" w:ascii="仿宋" w:hAnsi="仿宋" w:eastAsia="仿宋" w:cs="仿宋"/>
                <w:color w:val="auto"/>
                <w:sz w:val="18"/>
                <w:szCs w:val="18"/>
                <w:highlight w:val="none"/>
                <w:lang w:val="en-US" w:eastAsia="zh-CN" w:bidi="ar"/>
              </w:rPr>
              <w:t xml:space="preserve">供应商自有</w:t>
            </w:r>
            <w:r>
              <w:rPr>
                <w:rFonts w:hint="eastAsia" w:ascii="仿宋" w:hAnsi="仿宋" w:eastAsia="仿宋" w:cs="仿宋"/>
                <w:color w:val="auto"/>
                <w:sz w:val="18"/>
                <w:szCs w:val="18"/>
                <w:highlight w:val="none"/>
                <w:lang w:bidi="ar"/>
              </w:rPr>
              <w:t xml:space="preserve">车辆应配备到位，采购人组织验收。车辆配备未到位前，供应商应使用同等吨位要求的车辆进行服务。如供应商不能在采购人规定的时间内将车辆配备到位，采购人将立即终止合同。</w:t>
            </w:r>
            <w:r/>
          </w:p>
        </w:tc>
      </w:tr>
    </w:tbl>
    <w:p>
      <w:pPr>
        <w:pStyle w:val="1157"/>
        <w:ind w:left="0" w:firstLine="0"/>
        <w:rPr>
          <w:color w:val="auto"/>
          <w:highlight w:val="none"/>
        </w:rPr>
      </w:pPr>
      <w:r>
        <w:rPr>
          <w:color w:val="auto"/>
          <w:highlight w:val="none"/>
        </w:rPr>
      </w:r>
      <w:r/>
    </w:p>
    <w:p>
      <w:pPr>
        <w:pStyle w:val="925"/>
        <w:ind w:left="0" w:right="-65"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pStyle w:val="925"/>
        <w:ind w:left="0" w:right="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1.供应商提供满足项目车辆停放需求、符合相关规范的停放场所，不得占用道路、公共场地停车车辆。停车场出入口及场地连续硬化、无破损、无裸露黄土。</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2.高压清洗车、洗扫一体车、小型高压冲洗车）设备的所有权</w:t>
      </w:r>
      <w:r>
        <w:rPr>
          <w:rFonts w:hint="eastAsia" w:ascii="仿宋" w:hAnsi="仿宋" w:eastAsia="仿宋" w:cs="仿宋"/>
          <w:color w:val="auto"/>
          <w:sz w:val="24"/>
          <w:highlight w:val="none"/>
          <w:lang w:val="en-US" w:eastAsia="zh-CN"/>
        </w:rPr>
        <w:t xml:space="preserve">全部</w:t>
      </w:r>
      <w:r>
        <w:rPr>
          <w:rFonts w:hint="eastAsia" w:ascii="仿宋" w:hAnsi="仿宋" w:eastAsia="仿宋" w:cs="仿宋"/>
          <w:color w:val="auto"/>
          <w:sz w:val="24"/>
          <w:highlight w:val="none"/>
        </w:rPr>
        <w:t xml:space="preserve">属于供应商自有（以销售发票或机动车行驶证为准）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融雪剂撒布车</w:t>
      </w:r>
      <w:r>
        <w:rPr>
          <w:rFonts w:hint="eastAsia" w:ascii="仿宋" w:hAnsi="仿宋" w:eastAsia="仿宋" w:cs="仿宋"/>
          <w:color w:val="auto"/>
          <w:sz w:val="24"/>
          <w:highlight w:val="none"/>
          <w:lang w:val="en-US" w:eastAsia="zh-CN"/>
        </w:rPr>
        <w:t xml:space="preserve">的50%及以上</w:t>
      </w:r>
      <w:r>
        <w:rPr>
          <w:rFonts w:hint="eastAsia" w:ascii="仿宋" w:hAnsi="仿宋" w:eastAsia="仿宋" w:cs="仿宋"/>
          <w:color w:val="auto"/>
          <w:sz w:val="24"/>
          <w:highlight w:val="none"/>
        </w:rPr>
        <w:t xml:space="preserve">所有权属于供应商自有（以销售发票或机动车行驶证为准）。其余车型为供应商自有或租赁。鼓励使用无人驾驶设备。车辆须为2023年1月1日后出厂并取得机动车行驶证。</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在本项目</w:t>
      </w:r>
      <w:r>
        <w:rPr>
          <w:rFonts w:hint="eastAsia" w:ascii="仿宋" w:hAnsi="仿宋" w:eastAsia="仿宋" w:cs="仿宋"/>
          <w:color w:val="auto"/>
          <w:sz w:val="24"/>
          <w:highlight w:val="none"/>
          <w:lang w:val="en-US" w:eastAsia="zh-CN"/>
        </w:rPr>
        <w:t xml:space="preserve">各采购包</w:t>
      </w:r>
      <w:r>
        <w:rPr>
          <w:rFonts w:hint="eastAsia" w:ascii="仿宋" w:hAnsi="仿宋" w:eastAsia="仿宋" w:cs="仿宋"/>
          <w:color w:val="auto"/>
          <w:sz w:val="24"/>
          <w:highlight w:val="none"/>
          <w:lang w:val="en-US" w:eastAsia="zh"/>
        </w:rPr>
        <w:t xml:space="preserve">中新增或更新的</w:t>
      </w:r>
      <w:r>
        <w:rPr>
          <w:rFonts w:hint="eastAsia" w:ascii="仿宋" w:hAnsi="仿宋" w:eastAsia="仿宋" w:cs="仿宋"/>
          <w:color w:val="auto"/>
          <w:sz w:val="24"/>
          <w:highlight w:val="none"/>
          <w:lang w:val="en-US" w:eastAsia="zh-CN"/>
        </w:rPr>
        <w:t xml:space="preserve">轻型环卫车辆中</w:t>
      </w:r>
      <w:r>
        <w:rPr>
          <w:rFonts w:hint="eastAsia" w:ascii="仿宋" w:hAnsi="仿宋" w:eastAsia="仿宋" w:cs="仿宋"/>
          <w:color w:val="auto"/>
          <w:sz w:val="24"/>
          <w:highlight w:val="none"/>
          <w:lang w:val="en-US" w:eastAsia="zh"/>
        </w:rPr>
        <w:t xml:space="preserve">新能源</w:t>
      </w:r>
      <w:r>
        <w:rPr>
          <w:rFonts w:hint="eastAsia" w:ascii="仿宋" w:hAnsi="仿宋" w:eastAsia="仿宋" w:cs="仿宋"/>
          <w:color w:val="auto"/>
          <w:sz w:val="24"/>
          <w:highlight w:val="none"/>
          <w:lang w:val="en-US" w:eastAsia="zh-CN"/>
        </w:rPr>
        <w:t xml:space="preserve">车辆</w:t>
      </w:r>
      <w:r>
        <w:rPr>
          <w:rFonts w:hint="eastAsia" w:ascii="仿宋" w:hAnsi="仿宋" w:eastAsia="仿宋" w:cs="仿宋"/>
          <w:color w:val="auto"/>
          <w:sz w:val="24"/>
          <w:highlight w:val="none"/>
          <w:lang w:val="en-US" w:eastAsia="zh"/>
        </w:rPr>
        <w:t xml:space="preserve">比例不低于80%。</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应充分了解徐州市新能源车辆上牌上路政策，如因上牌等问题造成的车辆被交警扣留等情况由投标人自行负责。</w:t>
      </w:r>
      <w:r>
        <w:rPr>
          <w:rFonts w:hint="eastAsia" w:ascii="仿宋" w:hAnsi="仿宋" w:eastAsia="仿宋" w:cs="仿宋"/>
          <w:color w:val="auto"/>
          <w:sz w:val="24"/>
          <w:highlight w:val="none"/>
        </w:rPr>
        <w:t xml:space="preserve">投标文件中提供供应商车辆需为自有并提供相关证明材料；如暂未购买需在投标文件中提供《投标人对“设备、车辆配备要求”的承诺》的承诺文件，否则按照无效投标处理。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3.车辆达到国Ⅵ标准。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快速保洁车</w:t>
      </w:r>
      <w:r>
        <w:rPr>
          <w:rFonts w:hint="eastAsia" w:ascii="仿宋" w:hAnsi="仿宋" w:eastAsia="仿宋" w:cs="仿宋"/>
          <w:color w:val="auto"/>
          <w:sz w:val="24"/>
          <w:szCs w:val="24"/>
          <w:highlight w:val="none"/>
        </w:rPr>
        <w:t xml:space="preserve">如使用环卫机动和电动作业车辆符合法律法规要求，具备购买手续，使用国标车辆应当办理备案编号及办理车辆注册登记，并按照机动车进行管理。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5.设备（车辆）外观要求标识统一，中标后，必须按采购人要求进行车辆涂装，相关费用包含于投标报价内。</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6、部分设备（车辆）主要技术参数：（如果是新能源车辆，须达到同级别燃油车辆同等的性能和要求）：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（1）8吨高压清洗车技术参数：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最大总质量（kg）：≥18000；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最大清洗水压力（MPa）：≥10；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低压冲洗宽度（m）：≥14；</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新能源电池电量≥160kwh或燃油发动机额定功率≥170kw。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（2）12吨高压清洗车技术参数：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最大总质量（kg）：≥25000；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最大清洗水压力（MPa）：≥10；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低压冲洗宽度（m）：≥14；</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电池电量≥240kwh 或燃油发动机额定功率≥190kw。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（3）2吨洗扫车一体车技术参数：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最大总质量（kg）：≥1950；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最大洗扫宽度(含路缘清洗宽度)（m）：≥2；</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（4）4吨洗扫一体车技术参数：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最大总质量（kg）：≥7300；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最大洗扫宽度(含路缘清洗宽度)（m）：≥3.2；</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电池电量≥100kwh或发动机额定功率≥98kw；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（5）8吨洗扫车一体车技术参数：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最大总质量（kg）：≥18000；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清洗压力(MPa）：≥9.5；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电池电量≥240kwh或发动机额定功率≥169kw；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（6）12吨洗扫车一体车技术参数：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最大总质量（kg）：≥25000；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高压水泵额定压力(MPa）：≥10；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发动机额定功率≥210kw；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（7）1吨小型高压清洗车技术参数：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高压清洗压力（MPa） ≥15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清洗流量：（L/min）≥ 30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水箱容积：（m³）≥1</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电池电量≥14kwh；</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（8）融雪剂撒布车技术参数：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发动机功率（kW）≥150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滚刷宽度（mm）≥3100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前置式滚刷，适用于载重5吨及以上汽车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料仓容积（m³）≥9；</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撒布宽度（米）≥12，撒布宽度可调。</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（9）雪铲技术参数：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左右摆角：30±2度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避障高度≥150mm</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铲刃材质 ：65Mn</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最低作业温度：-40℃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（10）无人驾驶</w:t>
      </w:r>
      <w:r>
        <w:rPr>
          <w:rFonts w:hint="eastAsia" w:ascii="仿宋" w:hAnsi="仿宋" w:eastAsia="仿宋" w:cs="仿宋"/>
          <w:color w:val="auto"/>
          <w:sz w:val="24"/>
          <w:highlight w:val="none"/>
          <w:lang w:val="en-US" w:eastAsia="zh-CN"/>
        </w:rPr>
        <w:t xml:space="preserve">清扫一体车</w:t>
      </w:r>
      <w:r>
        <w:rPr>
          <w:rFonts w:hint="eastAsia" w:ascii="仿宋" w:hAnsi="仿宋" w:eastAsia="仿宋" w:cs="仿宋"/>
          <w:color w:val="auto"/>
          <w:sz w:val="24"/>
          <w:highlight w:val="none"/>
        </w:rPr>
        <w:t xml:space="preserve">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最大总质量（吨）：≥3；</w:t>
      </w:r>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（四）环卫工人权益保障</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全员统一着装、配齐安全防护用具，依法缴纳包括但不限于社会保险等法律法规规定的一切费用，并另行为环卫工人缴纳商业保险。安全生产主体责任由供应商承担；</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按照《中华人民共和国劳动合同法》等法律、法规、规章和政策，按月足额发放人员工资：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1.一线环卫工人基本工资按照不低于徐州市最低工资标准的110%确定；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2.按标准发放高温津贴；</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3.保证环卫工人休息，延长工作时间、节假日的工资应按相关法律规定执行；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人、供应商、银行）协议。专用账户开立后30日内，需报采购人备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5.合同履行期内遇政策调整，要求提高环卫工人待遇的，供应商必须于政策调整执行日期起执行，采购人不予追加任何费用；</w:t>
      </w:r>
      <w:r/>
    </w:p>
    <w:p>
      <w:pPr>
        <w:ind w:firstLine="480"/>
        <w:spacing w:line="360" w:lineRule="auto"/>
        <w:rPr>
          <w:rFonts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6.环卫工人工作日、休息日按照劳动合同法等法律法规、规章和政策执行。</w:t>
      </w:r>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（五）机械化作业保洁类型明细表</w:t>
      </w:r>
      <w:r/>
    </w:p>
    <w:tbl>
      <w:tblPr>
        <w:tblStyle w:val="924"/>
        <w:tblpPr w:horzAnchor="page" w:tblpX="2241" w:vertAnchor="text" w:tblpY="337" w:leftFromText="180" w:topFromText="0" w:rightFromText="180" w:bottomFromText="0"/>
        <w:tblW w:w="4655" w:type="pct"/>
        <w:tblInd w:w="0" w:type="dxa"/>
        <w:tblLayout w:type="autofit"/>
        <w:tblCellMar>
          <w:left w:w="108" w:type="dxa"/>
          <w:top w:w="0" w:type="dxa"/>
          <w:right w:w="108" w:type="dxa"/>
          <w:bottom w:w="0" w:type="dxa"/>
        </w:tblCellMar>
        <w:tblLook w:val="04A0" w:firstRow="1" w:lastRow="0" w:firstColumn="1" w:lastColumn="0" w:noHBand="0" w:noVBand="1"/>
      </w:tblPr>
      <w:tblGrid>
        <w:gridCol w:w="2060"/>
        <w:gridCol w:w="1733"/>
        <w:gridCol w:w="1780"/>
        <w:gridCol w:w="2355"/>
      </w:tblGrid>
      <w:tr>
        <w:trPr>
          <w:trHeight w:val="710"/>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冲洗</w:t>
            </w:r>
            <w:r/>
          </w:p>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（行车道）</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大型洗扫</w:t>
            </w:r>
            <w:r/>
          </w:p>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（快车道）</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人工配合精洗扫</w:t>
            </w:r>
            <w:r/>
          </w:p>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（人行、慢车道）</w:t>
            </w:r>
            <w:r/>
          </w:p>
        </w:tc>
      </w:tr>
      <w:tr>
        <w:trPr>
          <w:trHeight w:val="468"/>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A</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trHeight w:val="472"/>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B</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0.5</w:t>
            </w:r>
            <w:r/>
          </w:p>
        </w:tc>
      </w:tr>
      <w:tr>
        <w:trPr>
          <w:trHeight w:val="442"/>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C</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0.5</w:t>
            </w:r>
            <w:r/>
          </w:p>
        </w:tc>
      </w:tr>
      <w:tr>
        <w:trPr>
          <w:trHeight w:val="442"/>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D</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0.2</w:t>
            </w:r>
            <w:r/>
          </w:p>
        </w:tc>
      </w:tr>
      <w:tr>
        <w:trPr>
          <w:trHeight w:val="374"/>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E</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374"/>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F</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0.2</w:t>
            </w:r>
            <w:r/>
          </w:p>
        </w:tc>
      </w:tr>
      <w:tr>
        <w:trPr>
          <w:trHeight w:val="374"/>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G</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0.5</w:t>
            </w:r>
            <w:r/>
          </w:p>
        </w:tc>
      </w:tr>
    </w:tbl>
    <w:p>
      <w:pPr>
        <w:pStyle w:val="925"/>
        <w:ind w:left="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pStyle w:val="925"/>
        <w:ind w:left="0" w:firstLine="95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1.质量标准、人工保洁时间、机械化作业类型等可根据道路施工等原因进行调整，报市级城管部门审批后实施。</w:t>
      </w:r>
      <w:r/>
    </w:p>
    <w:p>
      <w:pPr>
        <w:rPr>
          <w:color w:val="auto"/>
          <w:highlight w:val="none"/>
        </w:rPr>
      </w:pPr>
      <w:r>
        <w:rPr>
          <w:color w:val="auto"/>
          <w:highlight w:val="none"/>
        </w:rPr>
      </w:r>
      <w:r/>
    </w:p>
    <w:p>
      <w:pPr>
        <w:pStyle w:val="925"/>
        <w:ind w:left="0" w:firstLine="95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2.道路未交付使用或由于施工改造暂停保洁的，报市、区两级城管部门批准后，扣减相应经费留财政，保洁工作正常进行后恢复经费拨付。</w:t>
      </w:r>
      <w:r/>
    </w:p>
    <w:p>
      <w:pPr>
        <w:pStyle w:val="925"/>
        <w:ind w:left="0" w:firstLine="952"/>
        <w:spacing w:line="360" w:lineRule="auto"/>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3.投标人应针对综合保洁工作进行全面安排，运用统筹兼顾、整体协调的管理方式把各项目的保洁工作有机地结合起来，确保作业效果明显提高。</w:t>
      </w:r>
      <w:r/>
    </w:p>
    <w:p>
      <w:pPr>
        <w:spacing w:line="360" w:lineRule="auto"/>
        <w:rPr>
          <w:rFonts w:ascii="仿宋" w:hAnsi="仿宋" w:eastAsia="仿宋" w:cs="仿宋"/>
          <w:b/>
          <w:bCs/>
          <w:color w:val="auto"/>
          <w:sz w:val="24"/>
          <w:highlight w:val="none"/>
        </w:rPr>
        <w:outlineLvl w:val="0"/>
      </w:pPr>
      <w:r>
        <w:rPr>
          <w:rFonts w:hint="eastAsia" w:ascii="仿宋" w:hAnsi="仿宋" w:eastAsia="仿宋" w:cs="仿宋"/>
          <w:b/>
          <w:bCs/>
          <w:color w:val="auto"/>
          <w:sz w:val="24"/>
          <w:highlight w:val="none"/>
        </w:rPr>
        <w:t xml:space="preserve">六、项目要求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1.供应商必须遵守劳动法，</w:t>
      </w:r>
      <w:r>
        <w:rPr>
          <w:rFonts w:hint="eastAsia" w:ascii="仿宋" w:hAnsi="仿宋" w:eastAsia="仿宋" w:cs="仿宋"/>
          <w:color w:val="auto"/>
          <w:sz w:val="24"/>
          <w:highlight w:val="none"/>
          <w:lang w:val="zh-CN"/>
        </w:rPr>
        <w:t xml:space="preserve">依法规范用工，全员签订劳动合同。依法缴纳缴存包括但不限于社会保险等法律法规规定的一切费用，按照法律、法规及政策规定发放高温津贴、岗位津贴、加班（包括节假日加班）等费用。</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应当另行为环卫工人缴纳商业保险</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2.供应商按月向采购人提供项目运行、项目管理资料，包括但不限于人员信息、工资、岗位津贴和加班费发放、设备（车辆）信息、垃圾清运量等，并确保资料信息的真实性。</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3.供应商必须在投标文件中承诺《投标人对“中标后提供满足项目车辆停放需求、符合相关规范要求的停车场”的承诺》。合同签订前，中标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应提供自有产权停车场所权属证明或租赁合同和付款发票复印件（原件备查），且租赁结束日期不得早于本项目服务结束日期。如中标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未按本条规定提供相关材料，采购人有权拒绝与中标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签订合同，所有责任由中标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自行承担。</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4.供应商必须在投标文件中承诺《投标人对“中标后在徐州设立固定的办公场所（非住宅小区类）”的承诺》。合同签订前，中标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应提供自有产权办公场所（非住宅小区类）所权属证明或租赁合同和付款发票复印件（原件备查），且租赁结束日期不得早于本项目服务结束日期。如中标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未按本条规定提供相关材料，采购人有权拒绝与中标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签订合同，所有责任由中标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自行承担。</w:t>
      </w:r>
      <w:r/>
    </w:p>
    <w:p>
      <w:pPr>
        <w:ind w:firstLine="482"/>
        <w:spacing w:line="36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说明：投标文件中必须提供 《投标人对“中标后提供满足项目车辆停放需求、符合相关规范要求的停车场”的承诺》、《投标人对“中标后在徐州设立固定的办公场所（非住宅小区类）”的承诺》的承诺文件。</w:t>
      </w:r>
      <w:r/>
    </w:p>
    <w:p>
      <w:pPr>
        <w:spacing w:line="360" w:lineRule="auto"/>
        <w:rPr>
          <w:rFonts w:ascii="仿宋" w:hAnsi="仿宋" w:eastAsia="仿宋" w:cs="仿宋"/>
          <w:b/>
          <w:bCs/>
          <w:color w:val="auto"/>
          <w:sz w:val="24"/>
          <w:highlight w:val="none"/>
        </w:rPr>
        <w:outlineLvl w:val="0"/>
      </w:pPr>
      <w:r>
        <w:rPr>
          <w:rFonts w:hint="eastAsia" w:ascii="仿宋" w:hAnsi="仿宋" w:eastAsia="仿宋" w:cs="仿宋"/>
          <w:b/>
          <w:bCs/>
          <w:color w:val="auto"/>
          <w:sz w:val="24"/>
          <w:highlight w:val="none"/>
        </w:rPr>
        <w:t xml:space="preserve">七、综合说明其它要求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1.投标总报价包括在服务期内保洁服务需要的人工费（</w:t>
      </w:r>
      <w:r>
        <w:rPr>
          <w:rFonts w:hint="eastAsia" w:ascii="仿宋" w:hAnsi="仿宋" w:eastAsia="仿宋" w:cs="仿宋"/>
          <w:color w:val="auto"/>
          <w:sz w:val="24"/>
          <w:highlight w:val="none"/>
          <w:lang w:val="zh-CN"/>
        </w:rPr>
        <w:t xml:space="preserve">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中标</w:t>
      </w:r>
      <w:r>
        <w:rPr>
          <w:rFonts w:hint="eastAsia" w:ascii="仿宋" w:hAnsi="仿宋" w:eastAsia="仿宋" w:cs="仿宋"/>
          <w:color w:val="auto"/>
          <w:sz w:val="24"/>
          <w:highlight w:val="none"/>
        </w:rPr>
        <w:t xml:space="preserve">人</w:t>
      </w:r>
      <w:r>
        <w:rPr>
          <w:rFonts w:hint="eastAsia" w:ascii="仿宋" w:hAnsi="仿宋" w:eastAsia="仿宋" w:cs="仿宋"/>
          <w:color w:val="auto"/>
          <w:sz w:val="24"/>
          <w:highlight w:val="none"/>
          <w:lang w:val="zh-CN"/>
        </w:rPr>
        <w:t xml:space="preserve">不得再要求追加任何费用</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本项目服务过程中所有安全责任由中标人承担。服务过程中因</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责任所造成的经济损失由中标人按实际金额赔偿。</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工作人员在岗履行职责期间（包括上下班途中），发生自身的人身伤害、伤亡，均由</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负责处理并承担经济和人道主义上的责任，采购人不承担任何责任。</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违反国家相关法规，与</w:t>
      </w:r>
      <w:r>
        <w:rPr>
          <w:rFonts w:hint="eastAsia" w:ascii="仿宋" w:hAnsi="仿宋" w:eastAsia="仿宋" w:cs="仿宋"/>
          <w:color w:val="auto"/>
          <w:sz w:val="24"/>
          <w:highlight w:val="none"/>
        </w:rPr>
        <w:t xml:space="preserve">工作</w:t>
      </w:r>
      <w:r>
        <w:rPr>
          <w:rFonts w:hint="eastAsia" w:ascii="仿宋" w:hAnsi="仿宋" w:eastAsia="仿宋" w:cs="仿宋"/>
          <w:color w:val="auto"/>
          <w:sz w:val="24"/>
          <w:highlight w:val="none"/>
          <w:lang w:val="zh-CN"/>
        </w:rPr>
        <w:t xml:space="preserve">人员发生纠纷，均由</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负责调解与处理，采购人不承担责任</w:t>
      </w:r>
      <w:r>
        <w:rPr>
          <w:rFonts w:hint="eastAsia" w:ascii="仿宋" w:hAnsi="仿宋" w:eastAsia="仿宋" w:cs="仿宋"/>
          <w:color w:val="auto"/>
          <w:sz w:val="24"/>
          <w:highlight w:val="none"/>
        </w:rPr>
        <w:t xml:space="preserve">。</w:t>
      </w:r>
      <w:r/>
    </w:p>
    <w:p>
      <w:pPr>
        <w:pStyle w:val="925"/>
        <w:ind w:left="0" w:right="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zh-CN"/>
        </w:rPr>
        <w:t xml:space="preserve">凡涉及招标文件的补充说明和修改，均以招标代理机构网上发布的公告为准。</w:t>
      </w:r>
      <w:r/>
    </w:p>
    <w:p>
      <w:pPr>
        <w:spacing w:line="360" w:lineRule="auto"/>
        <w:rPr>
          <w:rFonts w:ascii="仿宋" w:hAnsi="仿宋" w:eastAsia="仿宋" w:cs="仿宋"/>
          <w:b/>
          <w:bCs/>
          <w:color w:val="auto"/>
          <w:sz w:val="24"/>
          <w:highlight w:val="none"/>
        </w:rPr>
        <w:outlineLvl w:val="0"/>
      </w:pPr>
      <w:r>
        <w:rPr>
          <w:rFonts w:hint="eastAsia" w:ascii="仿宋" w:hAnsi="仿宋" w:eastAsia="仿宋" w:cs="仿宋"/>
          <w:b/>
          <w:bCs/>
          <w:color w:val="auto"/>
          <w:sz w:val="24"/>
          <w:highlight w:val="none"/>
        </w:rPr>
        <w:t xml:space="preserve">八、保洁方案实施要求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投标人应针对本项目制定保洁实施方案，实施方案至少应包含以下部分：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1.项目分析：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根据招标文件、地方情况和个人理解等方面，对项目整体、作业范围、作业难点重点等进行分析。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2.项目管理团队、场所配备方案：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3.道路人工保洁管理方案：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方案内容中至少包含道路的排班、组织、岗位设置、人工作业规范、内部人员管理制度、内部人员岗位职责等内容，填写《道路清扫保洁人员配备表》格式如下：</w:t>
      </w:r>
      <w:r/>
    </w:p>
    <w:tbl>
      <w:tblPr>
        <w:tblStyle w:val="924"/>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val="false"/>
          </w:tcPr>
          <w:p>
            <w:pPr>
              <w:ind w:firstLine="480"/>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Mar>
              <w:left w:w="15" w:type="dxa"/>
              <w:top w:w="15" w:type="dxa"/>
              <w:right w:w="15" w:type="dxa"/>
            </w:tcMar>
            <w:tcW w:w="1766"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道路名称</w:t>
            </w:r>
            <w:r/>
          </w:p>
        </w:tc>
        <w:tc>
          <w:tcPr>
            <w:tcMar>
              <w:left w:w="15" w:type="dxa"/>
              <w:top w:w="15" w:type="dxa"/>
              <w:right w:w="15" w:type="dxa"/>
            </w:tcMar>
            <w:tcW w:w="1800"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起点</w:t>
            </w:r>
            <w:r/>
          </w:p>
        </w:tc>
        <w:tc>
          <w:tcPr>
            <w:tcMar>
              <w:left w:w="15" w:type="dxa"/>
              <w:top w:w="15" w:type="dxa"/>
              <w:right w:w="15" w:type="dxa"/>
            </w:tcMar>
            <w:tcW w:w="1184"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终点</w:t>
            </w:r>
            <w:r/>
          </w:p>
        </w:tc>
        <w:tc>
          <w:tcPr>
            <w:tcMar>
              <w:left w:w="15" w:type="dxa"/>
              <w:top w:w="15" w:type="dxa"/>
              <w:right w:w="15" w:type="dxa"/>
            </w:tcMar>
            <w:tcW w:w="1216"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岗位数</w:t>
            </w:r>
            <w:r/>
          </w:p>
        </w:tc>
        <w:tc>
          <w:tcPr>
            <w:tcMar>
              <w:left w:w="15" w:type="dxa"/>
              <w:top w:w="15" w:type="dxa"/>
              <w:right w:w="15" w:type="dxa"/>
            </w:tcMar>
            <w:tcW w:w="1475"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人员数</w:t>
            </w:r>
            <w:r/>
          </w:p>
        </w:tc>
      </w:tr>
      <w:tr>
        <w:trPr>
          <w:trHeight w:val="304"/>
        </w:trPr>
        <w:tc>
          <w:tcPr>
            <w:tcMar>
              <w:left w:w="15" w:type="dxa"/>
              <w:top w:w="15" w:type="dxa"/>
              <w:right w:w="15" w:type="dxa"/>
            </w:tcMar>
            <w:tcW w:w="1603" w:type="dxa"/>
            <w:vAlign w:val="center"/>
            <w:textDirection w:val="lrTb"/>
            <w:noWrap w:val="false"/>
          </w:tcPr>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15" w:type="dxa"/>
              <w:top w:w="15" w:type="dxa"/>
              <w:right w:w="15" w:type="dxa"/>
            </w:tcMar>
            <w:tcW w:w="176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800"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184"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21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475"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304"/>
        </w:trPr>
        <w:tc>
          <w:tcPr>
            <w:tcMar>
              <w:left w:w="15" w:type="dxa"/>
              <w:top w:w="15" w:type="dxa"/>
              <w:right w:w="15" w:type="dxa"/>
            </w:tcMar>
            <w:tcW w:w="1603" w:type="dxa"/>
            <w:vAlign w:val="center"/>
            <w:textDirection w:val="lrTb"/>
            <w:noWrap w:val="false"/>
          </w:tcPr>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5" w:type="dxa"/>
              <w:top w:w="15" w:type="dxa"/>
              <w:right w:w="15" w:type="dxa"/>
            </w:tcMar>
            <w:tcW w:w="176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800"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184"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21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475"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304"/>
        </w:trPr>
        <w:tc>
          <w:tcPr>
            <w:tcMar>
              <w:left w:w="15" w:type="dxa"/>
              <w:top w:w="15" w:type="dxa"/>
              <w:right w:w="15" w:type="dxa"/>
            </w:tcMar>
            <w:tcW w:w="1603" w:type="dxa"/>
            <w:vAlign w:val="center"/>
            <w:textDirection w:val="lrTb"/>
            <w:noWrap w:val="false"/>
          </w:tcPr>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15" w:type="dxa"/>
              <w:top w:w="15" w:type="dxa"/>
              <w:right w:w="15" w:type="dxa"/>
            </w:tcMar>
            <w:tcW w:w="176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800"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184"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21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475"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304"/>
        </w:trPr>
        <w:tc>
          <w:tcPr>
            <w:tcMar>
              <w:left w:w="15" w:type="dxa"/>
              <w:top w:w="15" w:type="dxa"/>
              <w:right w:w="15" w:type="dxa"/>
            </w:tcMar>
            <w:tcW w:w="1603" w:type="dxa"/>
            <w:vAlign w:val="center"/>
            <w:textDirection w:val="lrTb"/>
            <w:noWrap w:val="false"/>
          </w:tcPr>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Mar>
              <w:left w:w="15" w:type="dxa"/>
              <w:top w:w="15" w:type="dxa"/>
              <w:right w:w="15" w:type="dxa"/>
            </w:tcMar>
            <w:tcW w:w="176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800"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184"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21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475"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314"/>
        </w:trPr>
        <w:tc>
          <w:tcPr>
            <w:tcMar>
              <w:left w:w="15" w:type="dxa"/>
              <w:top w:w="15" w:type="dxa"/>
              <w:right w:w="15" w:type="dxa"/>
            </w:tcMar>
            <w:tcW w:w="1603" w:type="dxa"/>
            <w:vAlign w:val="center"/>
            <w:textDirection w:val="lrTb"/>
            <w:noWrap w:val="false"/>
          </w:tcPr>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tc>
        <w:tc>
          <w:tcPr>
            <w:tcMar>
              <w:left w:w="15" w:type="dxa"/>
              <w:top w:w="15" w:type="dxa"/>
              <w:right w:w="15" w:type="dxa"/>
            </w:tcMar>
            <w:tcW w:w="176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800"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184"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21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475"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bl>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4.环卫机械化作业管理方案：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方案内容中至少包含机械化设备配备、作业方案、日常和季节性作业时间安排、停车场地、机械化设备管理制度、内部人员管理制度、内部人员岗位职责、设备保养等内容进行综合评价。</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5.道路垃圾前端分类收集运输管理方案：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方案内容中至少包含道路垃圾前端分类收集运输的方案。方案中须至少体现人员配备、时间安排、工具配备、设备（车辆）安排、垃圾量台账记录等基本要求；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6.公厕保洁管理方案：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方案内容中至少包含道路的排班、组织、岗位设置、人工作业规范、内部人员管理制度、内部人员岗位职责等内容。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7.应急、突击、重大活动保障方案：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方案内容中至少提供《重大活动保障应急预案》、《特殊季节性保洁应急预案》、《道路大面积污染应急预案》、《除雪应急预案》、《台风暴雨等恶劣天气应急预案》。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8.道路大气扬尘污染防治、噪声污染防治方案：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依照《中华人民共和国大气污染防治法》《江苏省大气污染防治条例》《徐州市大气污染防治条例》及项目特点编制道路扬尘污染防治方案。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根据经验及项目特点自行编制。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9.文明、安全作业管理实施方案：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根据经验及项目特点自行编制。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10.交接方案：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根据经验及项目特点自行编制。</w:t>
      </w:r>
      <w:r/>
    </w:p>
    <w:p>
      <w:pPr>
        <w:spacing w:line="360" w:lineRule="auto"/>
        <w:rPr>
          <w:rFonts w:ascii="仿宋" w:hAnsi="仿宋" w:eastAsia="仿宋" w:cs="仿宋"/>
          <w:b/>
          <w:bCs/>
          <w:color w:val="auto"/>
          <w:sz w:val="24"/>
          <w:highlight w:val="none"/>
        </w:rPr>
        <w:outlineLvl w:val="0"/>
      </w:pPr>
      <w:r>
        <w:rPr>
          <w:rFonts w:hint="eastAsia" w:ascii="仿宋" w:hAnsi="仿宋" w:eastAsia="仿宋" w:cs="仿宋"/>
          <w:b/>
          <w:bCs/>
          <w:color w:val="auto"/>
          <w:sz w:val="24"/>
          <w:highlight w:val="none"/>
        </w:rPr>
        <w:t xml:space="preserve">九、其他要求：见招标文件第五章《拟签订的合同文本》。</w:t>
      </w:r>
      <w:r/>
    </w:p>
    <w:p>
      <w:pPr>
        <w:ind w:firstLine="480"/>
        <w:spacing w:line="578"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left"/>
        <w:spacing w:line="560" w:lineRule="atLeast"/>
        <w:widowControl/>
        <w:rPr>
          <w:rFonts w:ascii="仿宋" w:hAnsi="仿宋" w:eastAsia="仿宋" w:cs="仿宋"/>
          <w:b/>
          <w:bCs/>
          <w:color w:val="auto"/>
          <w:sz w:val="24"/>
          <w:highlight w:val="none"/>
        </w:rPr>
      </w:pPr>
      <w:r>
        <w:rPr>
          <w:rFonts w:ascii="仿宋" w:hAnsi="仿宋" w:eastAsia="仿宋" w:cs="仿宋"/>
          <w:b/>
          <w:bCs/>
          <w:color w:val="auto"/>
          <w:sz w:val="24"/>
          <w:highlight w:val="none"/>
        </w:rPr>
      </w:r>
      <w:r/>
    </w:p>
    <w:p>
      <w:pPr>
        <w:rPr>
          <w:rFonts w:ascii="仿宋" w:hAnsi="仿宋" w:eastAsia="仿宋" w:cs="仿宋"/>
          <w:b/>
          <w:color w:val="auto"/>
          <w:sz w:val="30"/>
          <w:highlight w:val="none"/>
        </w:rPr>
      </w:pPr>
      <w:r>
        <w:rPr>
          <w:rFonts w:hint="eastAsia" w:ascii="仿宋" w:hAnsi="仿宋" w:eastAsia="仿宋" w:cs="仿宋"/>
          <w:b/>
          <w:color w:val="auto"/>
          <w:sz w:val="30"/>
          <w:highlight w:val="none"/>
        </w:rPr>
        <w:br w:type="page" w:clear="all"/>
      </w:r>
      <w:r/>
    </w:p>
    <w:p>
      <w:pPr>
        <w:rPr>
          <w:rFonts w:ascii="仿宋" w:hAnsi="仿宋" w:eastAsia="仿宋" w:cs="仿宋"/>
          <w:b/>
          <w:color w:val="auto"/>
          <w:sz w:val="30"/>
          <w:highlight w:val="none"/>
        </w:rPr>
        <w:sectPr>
          <w:headerReference w:type="default" r:id="rId11"/>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color w:val="auto"/>
          <w:sz w:val="30"/>
          <w:highlight w:val="none"/>
        </w:rPr>
      </w:r>
      <w:r/>
    </w:p>
    <w:p>
      <w:pPr>
        <w:pStyle w:val="966"/>
        <w:ind w:left="0"/>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附件1：各采购包道路划分明细表</w:t>
      </w:r>
      <w:r/>
    </w:p>
    <w:p>
      <w:pPr>
        <w:jc w:val="left"/>
        <w:spacing w:line="560" w:lineRule="atLeas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采购包1：泉山区翟山、金山、奎山、泰山、七里沟办事处</w:t>
      </w:r>
      <w:r/>
    </w:p>
    <w:tbl>
      <w:tblPr>
        <w:tblStyle w:val="924"/>
        <w:tblW w:w="14545" w:type="dxa"/>
        <w:jc w:val="center"/>
        <w:tblLayout w:type="fixed"/>
        <w:tblCellMar>
          <w:left w:w="108" w:type="dxa"/>
          <w:top w:w="0" w:type="dxa"/>
          <w:right w:w="108" w:type="dxa"/>
          <w:bottom w:w="0" w:type="dxa"/>
        </w:tblCellMar>
        <w:tblLook w:val="04A0" w:firstRow="1" w:lastRow="0" w:firstColumn="1" w:lastColumn="0" w:noHBand="0" w:noVBand="1"/>
      </w:tblPr>
      <w:tblGrid>
        <w:gridCol w:w="450"/>
        <w:gridCol w:w="974"/>
        <w:gridCol w:w="2325"/>
        <w:gridCol w:w="2175"/>
        <w:gridCol w:w="2205"/>
        <w:gridCol w:w="1245"/>
        <w:gridCol w:w="1575"/>
        <w:gridCol w:w="1096"/>
        <w:gridCol w:w="750"/>
        <w:gridCol w:w="1750"/>
      </w:tblGrid>
      <w:tr>
        <w:trPr>
          <w:jc w:val="center"/>
          <w:trHeight w:val="81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长度(米)</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道路面积</w:t>
            </w:r>
            <w:r>
              <w:rPr>
                <w:rFonts w:hint="eastAsia" w:ascii="仿宋" w:hAnsi="仿宋" w:eastAsia="仿宋" w:cs="仿宋"/>
                <w:b/>
                <w:bCs/>
                <w:color w:val="auto"/>
                <w:sz w:val="22"/>
                <w:szCs w:val="22"/>
                <w:highlight w:val="none"/>
                <w:lang w:bidi="ar"/>
              </w:rPr>
              <w:br/>
            </w:r>
            <w:r>
              <w:rPr>
                <w:rFonts w:hint="eastAsia" w:ascii="仿宋" w:hAnsi="仿宋" w:eastAsia="仿宋" w:cs="仿宋"/>
                <w:b/>
                <w:bCs/>
                <w:color w:val="auto"/>
                <w:sz w:val="22"/>
                <w:szCs w:val="22"/>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人工清扫级别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机械化模式</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特殊要求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学苑路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72167.36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风华南路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11172.16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武警部队门口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6477.14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翟山农贸市场路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2818.78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9540.63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7679.38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风华南路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1063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16265.69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管道2号路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澳东印象城</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9034.46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如意家园西门以北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29725.81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路北头</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3356.86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恒文路-2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文欣路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4172.70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恒文路-3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南侧尽头</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3892.97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花语路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10186.35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华盛景园北区北侧路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4396.75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三环南路南侧</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4953.38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双山路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风华南路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19921.60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君子兰路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1330.14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郡景路-1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香梅路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3499.75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郡景路-2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8894.36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奎河路C线</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13617.09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奎河路D线</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12440.76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盛景路-1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徐州市泉山区城管局西侧路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5355.93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盛景路-2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京沪东路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5191.14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学校北墙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10617.30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双山路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江苏建筑职业技术学院北墙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19333.42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郡景路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郁金香路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2867.51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徐州市泉山区城管局西侧道路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十里铺</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5258.99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海峡东南郡一期东</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31623.65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姚庄一小南侧路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城管局门前路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3746.12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郁金香路-1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海棠路东</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474.05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5428.07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郁金香路-2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186.9</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3393.22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御景路辅路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1107.41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9543.53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大成物流园西大门门口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1520.03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64183.67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文竹巷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培栋学校北门</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香梅路口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少华街二小门前路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少华街二小</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1709.55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姚庄市场北路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姚庄市场</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菁华逸景东墙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3983.59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长安路人行天桥</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文欣花园西院墙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5364.80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文欣路西延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少华街二小西墙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奎河东侧</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7043.83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豫苑中路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7043.83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管道二号支路（南北）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涵洞路口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管道二号支路（左）</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管道二号路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涵洞</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1363.00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十里定销房南侧路（在建）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奎河西岸</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3998.40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紫罗兰路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191.21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2235.26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铁路桥中线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675.5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34967.45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奎河桥</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海峡东南郡峡小区15号灯杆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1856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82793.26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48640.00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十里西路北段</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逸景路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京沪东路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十里东路二期</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逸景路二期</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奎河东岸路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14300.00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昆仑御北A地块规划一路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规划逸景路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9048.00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姚庄路西延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广达路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科创路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12760.00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横一路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纵一路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七星路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3072.00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纵一路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横一路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2128.00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矿大南路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97097.28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双山路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10897.77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4659.34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金福路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20333.53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金属线材厂路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博通技校</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1779.93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金福路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10718.49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建筑学院大门南侧高炮广告牌</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79649.12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云泉路西延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馨雅园路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5775.00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金山东路路南人行道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7007.23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民政局车队路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鑫</w:t>
            </w:r>
            <w:r>
              <w:rPr>
                <w:rFonts w:hint="eastAsia" w:ascii="仿宋" w:hAnsi="仿宋" w:eastAsia="仿宋" w:cs="仿宋"/>
                <w:color w:val="auto"/>
                <w:sz w:val="22"/>
                <w:szCs w:val="22"/>
                <w:highlight w:val="none"/>
                <w:lang w:bidi="ar"/>
              </w:rPr>
              <w:t xml:space="preserve">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金福路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9655.31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秀水巷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路尽头</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858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8177.89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碧水巷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路尽头</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3088.74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鑫雅路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4690.32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2559.32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44965.80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1181.46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56937.25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爱德老年公寓南侧路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爱德老年公寓大门前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108.74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彩园8号楼西侧路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彩园8号楼西侧路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广场中心线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807.18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凤凰中房园B座北路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中房园B座4号楼</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凤鸣二巷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2246.45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汉桥</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周庄路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66012.97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共建路-2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引洪路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引洪南路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233.03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共建路-3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引洪南路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3783.01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恒彩路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小区门前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金奎巷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1936.12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42631.37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黄河西路-4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袁桥闸</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32456.91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中兴桥</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69571.25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7109.57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奎河东路-2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泰奎大沟泵站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5557.16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奎河东路-3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袁桥闸路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8622.62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引洪南路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10175.90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9138.46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奎淮路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13522.33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18148.13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奎山中街-1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1552.16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奎山中街-2（含奎山小区北门门前路）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金奎巷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8072.04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农干校宿舍门前路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奎淮路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泰奎大沟</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423.84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泉山区政府南路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铜山公路管理站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845.52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山水丽庭1号楼-2号楼之间</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山水丽庭广场南侧路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塔北路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403.50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山水丽庭2号楼-3号楼之间</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山水丽庭广场南侧路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路头</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871.70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广场西侧路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广场东侧路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1116.30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雅园9号楼东</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雅园6号楼东</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1207.22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塔北巷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山水丽庭4号楼西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3593.77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物华家园北路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龙江酒店南路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凤凰中房园B座北路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913.18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引洪南路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9451.91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龙江酒店南路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凤凰中房园B座北路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872.28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637.89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凤鸣三巷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1874.64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七里沟立交桥东路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852.99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七里沟立交桥西路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1410.47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1983.72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党校路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铁路中专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5136.06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周庄路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61986.99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3535.95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和园路-1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奎河路E线</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7930.57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和园路-2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3309.05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家和苑</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家和苑北墙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1127.28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31595.06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二涵洞</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5790.02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30881.79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19698.51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奎河路E线</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11415.47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三官庙居委会</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2788.52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梨园路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1756.90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绿环路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6213.79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675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6567.51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奎河路E线</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施工区</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2323.59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7229.79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2717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124786.42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36515.77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迎宾大道地道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6519.24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新泉路东延在建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梨园小区东配套路在建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15680.00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徐州市党风廉政教育基地配套道路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七里沟办事处</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教育基地南侧消防通道出入口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世纪路在建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规划福庆路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26240.00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福庆路在建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规划绿水路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31360.00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三官庙地铁西侧路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奎河两岸路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地块南端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5880.00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三官庙地铁南侧路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奎河两岸路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地块西端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3850.00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学院北路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10200.00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科创路在建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梨园路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13400.00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七星路在建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6476.80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迎宾大道铁路桥下小路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大自然商务中心</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新世界建材装饰城</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2467.50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百果园支巷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奎河路E线北侧延长道路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金山东路北侧铁路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5952.00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大学城路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8965.90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40939.82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凤鸣四巷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1932.25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凤鸣五巷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1180.94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凤栖巷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彭园东路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2040.17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17524.46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翰文路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经武路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3056.29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侯山窝路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侯山窝村</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3601.87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积翠新村两岸北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积翠桥</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6861.45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集群路-1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集群路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1338.90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集群路-2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8474.42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1732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76088.98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解放南路-6</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44652.37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解放南路隧道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7983.56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金鹏小区北路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凤鸣五巷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凤鸣四巷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801.45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二涵洞</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133510.97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5459.88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康居路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泰山西坡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2672.62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矿大便民街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9747.24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矿大便民街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2162.82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3274.04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立信路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周庄南路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7285.81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彭佑路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彭园东路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7659.42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彭园东路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5546.23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7260.31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人防路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人防办</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1880.88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奎淮路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16081.16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四院儿童医院门前路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万裕风情一期门前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2057.50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经武路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4130.51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积翠桥</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76516.49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26125.42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文华路-1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18279.74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矿大便民街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13405.72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19115.57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文华路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18896.88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文华路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29699.74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阳光人本东路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阳光人本小区东门</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侯山窝路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3587.18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书香园西侧</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3074.45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周庄路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7422.05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文汇路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2092.50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周庄南路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家和苑</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3915.99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云龙山隧道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20827.85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孟庄A地块南侧路（在建）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文汇路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文华路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1748.00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泰山路路南人行道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积翠桥</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2964.13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云谷中城中间路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立信路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昆仑御北侧路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奎河D线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865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10380.00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大河印小区配套路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大河印北侧住宅区地库出入口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新泉路东延</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113356.84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2640138.83 </w:t>
            </w:r>
            <w:r/>
          </w:p>
        </w:tc>
        <w:tc>
          <w:tcPr>
            <w:gridSpan w:val="3"/>
            <w:tcBorders>
              <w:top w:val="single" w:color="000000" w:sz="4" w:space="0"/>
              <w:left w:val="single" w:color="000000" w:sz="4" w:space="0"/>
              <w:bottom w:val="single" w:color="000000" w:sz="4" w:space="0"/>
              <w:right w:val="single" w:color="000000" w:sz="4" w:space="0"/>
            </w:tcBorders>
            <w:tcW w:w="3596" w:type="dxa"/>
            <w:vAlign w:val="center"/>
            <w:textDirection w:val="lrTb"/>
            <w:noWrap/>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bl>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1、Δ每天增加5次洒水作业，且该条路所有机械化作业车辆全部为新能源车辆。</w:t>
      </w:r>
      <w:r/>
    </w:p>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2、在建道路、公厕待投入使用后，经费自作业之日起支付。</w:t>
      </w:r>
      <w:r/>
    </w:p>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br w:type="page" w:clear="all"/>
      </w:r>
      <w:r/>
    </w:p>
    <w:p>
      <w:pPr>
        <w:jc w:val="left"/>
        <w:spacing w:line="560" w:lineRule="atLeas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采购包2：泉山区和平、王陵、永安办事处</w:t>
      </w:r>
      <w:r/>
    </w:p>
    <w:tbl>
      <w:tblPr>
        <w:tblStyle w:val="924"/>
        <w:tblW w:w="14447" w:type="dxa"/>
        <w:jc w:val="center"/>
        <w:tblLayout w:type="fixed"/>
        <w:tblCellMar>
          <w:left w:w="108" w:type="dxa"/>
          <w:top w:w="0" w:type="dxa"/>
          <w:right w:w="108" w:type="dxa"/>
          <w:bottom w:w="0" w:type="dxa"/>
        </w:tblCellMar>
        <w:tblLook w:val="04A0" w:firstRow="1" w:lastRow="0" w:firstColumn="1" w:lastColumn="0" w:noHBand="0" w:noVBand="1"/>
      </w:tblPr>
      <w:tblGrid>
        <w:gridCol w:w="450"/>
        <w:gridCol w:w="974"/>
        <w:gridCol w:w="2325"/>
        <w:gridCol w:w="2175"/>
        <w:gridCol w:w="2205"/>
        <w:gridCol w:w="1245"/>
        <w:gridCol w:w="1575"/>
        <w:gridCol w:w="1096"/>
        <w:gridCol w:w="750"/>
        <w:gridCol w:w="1652"/>
      </w:tblGrid>
      <w:tr>
        <w:trPr>
          <w:jc w:val="center"/>
          <w:trHeight w:val="81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长度(米)</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道路面积</w:t>
            </w:r>
            <w:r>
              <w:rPr>
                <w:rFonts w:hint="eastAsia" w:ascii="仿宋" w:hAnsi="仿宋" w:eastAsia="仿宋" w:cs="仿宋"/>
                <w:b/>
                <w:bCs/>
                <w:color w:val="auto"/>
                <w:sz w:val="22"/>
                <w:szCs w:val="22"/>
                <w:highlight w:val="none"/>
                <w:lang w:bidi="ar"/>
              </w:rPr>
              <w:br/>
            </w:r>
            <w:r>
              <w:rPr>
                <w:rFonts w:hint="eastAsia" w:ascii="仿宋" w:hAnsi="仿宋" w:eastAsia="仿宋" w:cs="仿宋"/>
                <w:b/>
                <w:bCs/>
                <w:color w:val="auto"/>
                <w:sz w:val="22"/>
                <w:szCs w:val="22"/>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人工清扫级别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机械化模式</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特殊要求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雁山路北延（在建）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7540.00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春雨花园门前路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春雨花园小区门口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2295.71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春雨路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2069.44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35011.40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17367.03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歌舞团路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1162.60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工程南巷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天山绿洲东门口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509.38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公园100门前路（民和巷）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公园100门前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2178.33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8145.67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和平西街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516.64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和平中转站对面路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和平16号楼</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1830.48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化轻楼后巷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528.02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1554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44786.52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黄河南路-3（南侧）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31727.82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黄河南路-5（南侧）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16424.69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汇源路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1537.50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12790.78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健康路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11007.21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矿机小区东西路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小区门口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479.12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14920.88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8461.84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天山绿洲三四期中间路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89609.36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4120.77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17554.28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9432.42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天能宾馆北墙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449.62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民安园北路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西苑小学北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3478.30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民和园东区、北区中间路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3030.51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民顺巷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1360.15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民康小区门前路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民康小区门前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700.23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民乐园北侧路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民乐园20号楼</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2909.96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民顺巷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1652.11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明理西街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1203.72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生态园东侧路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纬一路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生态园南侧路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1492.36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生态园南侧路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生态园东侧路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2596.59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十八中门前路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1302.54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十八中门前路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1510.72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西事业路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382.97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1678.06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事业小区西侧路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十八中门前路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612.04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故黄河公园</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1815.40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917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18427.39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天瑞华府北巷口</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天瑞华府东墙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1193.70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天山绿洲公园东路-1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生态园东侧路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天山绿洲三四期中间路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205.21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1477.50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天山绿洲公园东路-2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天山绿洲三四期中间路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四期大门口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288.00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天山绿洲三四期中间路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四期大门口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5225.61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薇园西路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薇园小区南门</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889.92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纬一路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嘉铭苑</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501.37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5637.05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西事业路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2442.60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西事业路支巷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西事业路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634.88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西雅苑门前路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铸造厂西墙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1982.22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8309.91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26072.45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向阳路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11506.54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兴华路-1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健康路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3839.87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兴华路-2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健康路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向阳路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3179.91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兴华路-3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向阳路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5698.47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徐工集团南巷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儿童医院</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434.46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艺君花园南路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春雨花园门前路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民和园东区、北区中间路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1018.35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艺君路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故黄河公园</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1437.98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永安北街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1725.20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三小西墙路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春雨小区花坛</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友谊北小区南侧路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体育局宿舍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1755.31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正大路-1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1772.56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正大路-2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十八中门前路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1234.98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志华路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兴华路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3806.25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61919.51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夹河街西延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四期大门</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12540.00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25727.80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崇德巷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文亭街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中兴巷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436.17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储达南巷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375.38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地铁东侧巷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317.56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电视塔北巷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电视塔门口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309.40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风化街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中枢北街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4568.44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福水井西巷-1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富国街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1486.64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福水井西巷-2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福水井西巷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286.40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福顺路-1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富国街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2929.74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福顺路-2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富国街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3619.95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富国街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立达路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7821.56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4784.70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光荣二巷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799.02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光荣一巷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762.14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海事局北巷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海市局停车场北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357.04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海郑巷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小区门口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773.55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29301.32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互助巷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风化街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318.98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99144.37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黄河南路-7（南侧）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22068.31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会堂西一巷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1057.12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夹河后街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夹河中街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金郡中央西侧</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606.56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20329.77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夹河中街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27171.32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奎河北路-4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中枢南街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3364.33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民有理街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224.73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立达路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5879.13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5499.36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美人巷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790.38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民享里巷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1327.78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民有理街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3863.61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2425.04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夹河中街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1810.18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农贸市场西巷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365.10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绅士花园门前路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963.50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培正支巷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培正路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338.66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立达路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3864.09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富国街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861.26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绅士花园门前路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小区门口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513.84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13528.19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文亭街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中枢南街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3801.52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文亭支巷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文亭街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644.22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40319.21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20551.72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11369.59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小北门路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2554.22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小北门西巷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1410.20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小北门巷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小北门西巷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小北门路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415.40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333.62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3539.36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醒狮巷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小区门口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353.54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学东巷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正风巷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中枢南街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385.86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玉带东街-1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10924.30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玉带东街-2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云西巷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云西小区南门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4042.33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10540.75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6403.47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1072.96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风化街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1150.54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38287.59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28355.95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18715.14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中枢南街-1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739.46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4685.72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中枢南街-2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4678.51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五中北巷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巷口尽头</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中兴巷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文亭街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民有理街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515.20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玉带紫宸配套路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4532.00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博爱街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2858.10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段庄农贸市场南侧路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建工小区南门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267.94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53637.34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15"/>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24626.27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富丽花园西侧路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富丽花园（到煤建东三巷）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459.37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工人医院宿舍西巷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工人医院宿舍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994.14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共和二巷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徐州市十三中北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417.56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共和一巷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建筑工人医院</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324.08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关庄路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1322.38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28557.16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66977.99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湖北路华商汇西侧路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如意河</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2887.52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57310.23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4808.68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教育学院门前路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教育学院大门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782.32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教育学院宿舍门前路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金域华庭大门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231.80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精忠巷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博爱街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250.80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口腔医院宿舍西巷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口腔医院宿舍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356.04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矿务局小学北巷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1688.00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劳动局南巷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劳动巷宿舍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179.82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联华西巷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煤建北村北路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煤建北村北门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447.16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煤建东三巷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富丽花园西侧路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1224.80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煤建东三巷南段</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吴庄花园北区</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181.30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煤建东一巷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509.58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24854.03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煤建三街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3370.50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903.12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13856.35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39652.13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6483.22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2084.70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求是小学北巷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设计院宿舍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524.28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人才路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明润家园</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1906.01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荣景路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4966.41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苏堤北村南门巷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幼儿园西侧</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497.64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51783.60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6971.28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万达兴路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3883.82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万里巷-1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杨家巷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466.68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万里巷-2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杨家巷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278.84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万里巷-5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1073.84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6261.33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王陵路公厕对面巷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西余窑小区门口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214.92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望景路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1327.84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11975.13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吴庄花园</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584.02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吴庄小区西区东巷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湖北路小学</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300.44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新都巷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1480.12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杨家巷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2727.58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药管处门前路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药管处合欢小区12号楼</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永安街西巷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6108宿舍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591.52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5517.97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永安邮电局后巷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万里巷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357.00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余窑北巷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1066.70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煤建西村东侧路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煤建西村小区14号楼前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煤建西村西侧路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煤建西路8号院门前路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煤建西路8号院大门前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万达兴路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明润家园南门东50米围墙处</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2178.48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振兴巷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902.60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天瑞中间路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和平路西延</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大福源南巷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236.43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2326.39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77808.39</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1536999.13 </w:t>
            </w:r>
            <w:r/>
          </w:p>
        </w:tc>
        <w:tc>
          <w:tcPr>
            <w:gridSpan w:val="3"/>
            <w:tcBorders>
              <w:top w:val="single" w:color="000000" w:sz="4" w:space="0"/>
              <w:left w:val="single" w:color="000000" w:sz="4" w:space="0"/>
              <w:bottom w:val="single" w:color="000000" w:sz="4" w:space="0"/>
              <w:right w:val="single" w:color="000000" w:sz="4" w:space="0"/>
            </w:tcBorders>
            <w:tcW w:w="3498" w:type="dxa"/>
            <w:vAlign w:val="center"/>
            <w:textDirection w:val="lrTb"/>
            <w:noWrap/>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bl>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1、Δ每天增加5次洒水作业，且该条路所有机械化作业车辆全部为新能源车辆。</w:t>
      </w:r>
      <w:r/>
    </w:p>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2、在建道路、公厕待投入使用后，经费自作业之日起支付。</w:t>
      </w:r>
      <w:r/>
    </w:p>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3、★全天候满勤，作业时间延长到24:00。</w:t>
      </w:r>
      <w:r/>
    </w:p>
    <w:p>
      <w:pPr>
        <w:rPr>
          <w:rFonts w:ascii="仿宋" w:hAnsi="仿宋" w:eastAsia="仿宋" w:cs="仿宋"/>
          <w:b/>
          <w:bCs/>
          <w:color w:val="auto"/>
          <w:sz w:val="24"/>
          <w:highlight w:val="none"/>
        </w:rPr>
      </w:pPr>
      <w:r>
        <w:rPr>
          <w:rFonts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采购包3：泉山区段庄、湖滨、火花办事处</w:t>
      </w:r>
      <w:r/>
    </w:p>
    <w:tbl>
      <w:tblPr>
        <w:tblStyle w:val="924"/>
        <w:tblW w:w="14446" w:type="dxa"/>
        <w:jc w:val="center"/>
        <w:tblLayout w:type="fixed"/>
        <w:tblCellMar>
          <w:left w:w="108" w:type="dxa"/>
          <w:top w:w="0" w:type="dxa"/>
          <w:right w:w="108" w:type="dxa"/>
          <w:bottom w:w="0" w:type="dxa"/>
        </w:tblCellMar>
        <w:tblLook w:val="04A0" w:firstRow="1" w:lastRow="0" w:firstColumn="1" w:lastColumn="0" w:noHBand="0" w:noVBand="1"/>
      </w:tblPr>
      <w:tblGrid>
        <w:gridCol w:w="450"/>
        <w:gridCol w:w="974"/>
        <w:gridCol w:w="2325"/>
        <w:gridCol w:w="2175"/>
        <w:gridCol w:w="2205"/>
        <w:gridCol w:w="1245"/>
        <w:gridCol w:w="1575"/>
        <w:gridCol w:w="1096"/>
        <w:gridCol w:w="750"/>
        <w:gridCol w:w="1651"/>
      </w:tblGrid>
      <w:tr>
        <w:trPr>
          <w:jc w:val="center"/>
          <w:trHeight w:val="81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长度(米)</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道路面积</w:t>
            </w:r>
            <w:r>
              <w:rPr>
                <w:rFonts w:hint="eastAsia" w:ascii="仿宋" w:hAnsi="仿宋" w:eastAsia="仿宋" w:cs="仿宋"/>
                <w:b/>
                <w:bCs/>
                <w:color w:val="auto"/>
                <w:sz w:val="22"/>
                <w:szCs w:val="22"/>
                <w:highlight w:val="none"/>
                <w:lang w:bidi="ar"/>
              </w:rPr>
              <w:br/>
            </w:r>
            <w:r>
              <w:rPr>
                <w:rFonts w:hint="eastAsia" w:ascii="仿宋" w:hAnsi="仿宋" w:eastAsia="仿宋" w:cs="仿宋"/>
                <w:b/>
                <w:bCs/>
                <w:color w:val="auto"/>
                <w:sz w:val="22"/>
                <w:szCs w:val="22"/>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人工清扫级别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机械化模式</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特殊要求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育才路北段</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纬二路交叉口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灯泡厂宿舍门前路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灯泡厂宿舍大门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450.04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鼎瑞雅居中间路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4333.36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段二小门前路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湖滨市场东路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1835.46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滨湖路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3544.20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1402.30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12984.34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二轻路-1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5376.33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二轻路-2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12208.52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5138.70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5839.27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405.92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6937.52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461.45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6407.68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湖滨市场东路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滨湖路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162.73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835.54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788.45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24006.78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金阳路-2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二轻路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6824.94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农校路-2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生物工程学院东墙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3004.85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彭家巷-1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2663.52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彭家巷-2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4787.06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万通路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万通小区</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1006.76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万通小区门前路延长</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万通路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532.78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79049.40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雅居路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9724.67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鼎瑞雅居中间路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4159.59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5226.81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4911.13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19176.00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榴园东巷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段南25号前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696.97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鸿源路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3645.00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中意路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福润路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22400.00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中级人民法院东路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区政府宿舍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998.62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如意路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11293.05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24535.94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韩山路（东侧人行道）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8830.08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韩山隧道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28221.06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18001.59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53765.64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29049.84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49673.69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金阳路-1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小山子路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2888.80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菁英阁路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17407.33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云龙谷东路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953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28528.16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琅悦锦园小区北侧路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兴盛路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1769.98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开元四季门前路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磨山路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2300.24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乐雅路-1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精英阁路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4167.56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乐雅路-2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翡翠杏山南区西南侧</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精英阁路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9246.03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临湖路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5948.18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刘场路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3294.76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磨山路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云龙谷东路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7030.61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农校路-1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生物工程学院东墙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630.81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瑞隆路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少年东路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1336.62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少年东路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刘场路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2860.06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刘场路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3028.94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盛和路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马山村社区服务中心</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475.53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10097.45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王窑河一巷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琅悦锦园小区北侧路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4745.61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王窑河二巷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琅悦锦园小区北侧路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和著湖山配套路1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4530.00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和著湖山配套路2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6115.00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韩山公寓门前</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和著湖山配套路1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教堂门前路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望湖路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3214.50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小山子路-1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淮西客运站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1773.48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小山子路-2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锦绣中学西北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3832.04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翡翠杏山南区</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15308.83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小山子路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2956.49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开元路西延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盛和路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6492.50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宝荣路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169.76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3796.51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大雁路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闸河</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310国道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532.6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2699.18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群英村界牌</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824.66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7530.11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经十四路（民兴路）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尚检路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15692.50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美润路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纵五路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1162.93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25755.22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杏山子地铁站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1025.22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45701.66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群丁路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310国道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756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8802.12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群英路（安康路）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13236.96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26990.04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润湖路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9386.08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群丁路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32081.42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杏花路北侧新修道路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污水处理厂</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8197.53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纬九路（尚俭路）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学院西路（勤学路）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8522.28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纬七路（倡勤路）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学院西路（勤学路）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10932.35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纬五路（明哲路）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经十四路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学院西路（勤学路）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4561.27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28126.96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14997.87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311国道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150054.55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4"/>
                <w:szCs w:val="32"/>
                <w:highlight w:val="none"/>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1247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28132.90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4"/>
                <w:szCs w:val="32"/>
                <w:highlight w:val="none"/>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史庄村铜山界牌</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16769.81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9967.85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杏山子大道（火花路）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37301.10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杏山子大道（火花路）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41005.21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杏山子大道（火花路）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1029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34128.41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311国道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2679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102646.31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勤学路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15040.77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源泉路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群英路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3010.18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志学路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4303.63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润湖路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8474.20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自力路-1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一水花园东侧道路东</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184.5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3677.03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自力路-2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299.65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5716.48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弘毅路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勤学路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11872.00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311南侧路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淮西公寓北侧</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谦厚路（恒常路以北待建）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3657.00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1352.00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港华燃气门前路(福田路）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气站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2786.00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杏花村路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杏花小区</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美润路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6320.53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纵五路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311国道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24658.75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恒常路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西城晶华小区（华美风景园东墙）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15068.01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崇仁路1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新修道路北起始点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西城晶华小区北侧路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1234.81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崇仁路2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西城晶华小区北侧路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4747.44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纵五路南段</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马山路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雨润市场东门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13000.00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卧牛山路雨润公共租赁房东侧路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纵五路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11250.00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杏山子首末站西侧道路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3705.00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翠微朗庭小区配套路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7854.00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泉润公园北A地块南侧路（在建）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泉润公园北A地块东侧路（在建）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润湖路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泉润公园北c地块西侧路（在建）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泉润公园北A地块南侧路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美润园周边路（在建）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12720.00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云龙湖实验室配套北侧路（在建）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经十二路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云龙湖实验室配套东侧路（在建）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自立路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经九路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纬八路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经八路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经九路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经九路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纬十二路（在建）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29700.00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规划一路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自力路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卧牛山路北段（在建）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桃花源路交叉口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1739.00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桃花源路二期（在建）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谦厚路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9690.00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68129.28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1605256.04 </w:t>
            </w:r>
            <w:r/>
          </w:p>
        </w:tc>
        <w:tc>
          <w:tcPr>
            <w:gridSpan w:val="3"/>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bl>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1、Δ每天增加5次洒水作业，且该条路所有机械化作业车辆全部为新能源车辆。</w:t>
      </w:r>
      <w:r/>
    </w:p>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2、在建道路、公厕待投入使用后，经费自作业之日起支付。</w:t>
      </w:r>
      <w:r/>
    </w:p>
    <w:p>
      <w:pPr>
        <w:spacing w:line="360" w:lineRule="auto"/>
        <w:rPr>
          <w:rFonts w:ascii="仿宋" w:hAnsi="仿宋" w:eastAsia="仿宋" w:cs="仿宋"/>
          <w:b/>
          <w:bCs/>
          <w:color w:val="auto"/>
          <w:sz w:val="24"/>
          <w:highlight w:val="none"/>
        </w:rPr>
      </w:pPr>
      <w:r>
        <w:rPr>
          <w:rFonts w:hint="eastAsia" w:ascii="仿宋" w:hAnsi="仿宋" w:eastAsia="仿宋" w:cs="仿宋"/>
          <w:color w:val="auto"/>
          <w:sz w:val="24"/>
          <w:szCs w:val="32"/>
          <w:highlight w:val="none"/>
          <w:lang w:val="en-US" w:eastAsia="zh-CN"/>
        </w:rPr>
        <w:t xml:space="preserve">3、</w:t>
      </w:r>
      <w:r>
        <w:rPr>
          <w:rFonts w:hint="eastAsia" w:ascii="仿宋" w:hAnsi="仿宋" w:eastAsia="仿宋" w:cs="仿宋"/>
          <w:color w:val="auto"/>
          <w:sz w:val="24"/>
          <w:szCs w:val="32"/>
          <w:highlight w:val="none"/>
        </w:rPr>
        <w:t xml:space="preserve">★</w:t>
      </w:r>
      <w:r>
        <w:rPr>
          <w:rFonts w:hint="eastAsia" w:ascii="仿宋" w:hAnsi="仿宋" w:eastAsia="仿宋" w:cs="仿宋"/>
          <w:color w:val="auto"/>
          <w:sz w:val="24"/>
          <w:szCs w:val="32"/>
          <w:highlight w:val="none"/>
          <w:lang w:val="en-US" w:eastAsia="zh-CN"/>
        </w:rPr>
        <w:t xml:space="preserve">全天候满勤，作业时间延长到24:00。</w:t>
      </w:r>
      <w:r>
        <w:rPr>
          <w:rFonts w:hint="eastAsia" w:ascii="仿宋" w:hAnsi="仿宋" w:eastAsia="仿宋" w:cs="仿宋"/>
          <w:b/>
          <w:bCs/>
          <w:color w:val="auto"/>
          <w:sz w:val="24"/>
          <w:highlight w:val="none"/>
        </w:rPr>
        <w:br w:type="page" w:clear="all"/>
      </w:r>
      <w:r/>
    </w:p>
    <w:p>
      <w:pPr>
        <w:jc w:val="left"/>
        <w:spacing w:line="560" w:lineRule="atLeas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采购包4：泉山区城北开发区、桃园办事处</w:t>
      </w:r>
      <w:r/>
    </w:p>
    <w:tbl>
      <w:tblPr>
        <w:tblStyle w:val="924"/>
        <w:tblW w:w="14577" w:type="dxa"/>
        <w:jc w:val="center"/>
        <w:tblLayout w:type="fixed"/>
        <w:tblCellMar>
          <w:left w:w="108" w:type="dxa"/>
          <w:top w:w="0" w:type="dxa"/>
          <w:right w:w="108" w:type="dxa"/>
          <w:bottom w:w="0" w:type="dxa"/>
        </w:tblCellMar>
        <w:tblLook w:val="04A0" w:firstRow="1" w:lastRow="0" w:firstColumn="1" w:lastColumn="0" w:noHBand="0" w:noVBand="1"/>
      </w:tblPr>
      <w:tblGrid>
        <w:gridCol w:w="450"/>
        <w:gridCol w:w="974"/>
        <w:gridCol w:w="2325"/>
        <w:gridCol w:w="2175"/>
        <w:gridCol w:w="2205"/>
        <w:gridCol w:w="1245"/>
        <w:gridCol w:w="1575"/>
        <w:gridCol w:w="1096"/>
        <w:gridCol w:w="750"/>
        <w:gridCol w:w="1782"/>
      </w:tblGrid>
      <w:tr>
        <w:trPr>
          <w:jc w:val="center"/>
          <w:trHeight w:val="81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长度(米)</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道路面积</w:t>
            </w:r>
            <w:r>
              <w:rPr>
                <w:rFonts w:hint="eastAsia" w:ascii="仿宋" w:hAnsi="仿宋" w:eastAsia="仿宋" w:cs="仿宋"/>
                <w:b/>
                <w:bCs/>
                <w:color w:val="auto"/>
                <w:sz w:val="22"/>
                <w:szCs w:val="22"/>
                <w:highlight w:val="none"/>
                <w:lang w:bidi="ar"/>
              </w:rPr>
              <w:br/>
            </w:r>
            <w:r>
              <w:rPr>
                <w:rFonts w:hint="eastAsia" w:ascii="仿宋" w:hAnsi="仿宋" w:eastAsia="仿宋" w:cs="仿宋"/>
                <w:b/>
                <w:bCs/>
                <w:color w:val="auto"/>
                <w:sz w:val="22"/>
                <w:szCs w:val="22"/>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人工清扫级别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机械化模式</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特殊要求</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观湖路（腾龙路）-1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腾逸路（纬二路）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18227.39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观湖路（腾龙路）-2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21661.61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宏盛路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腾云路（纬三路）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14420.06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金虹路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振河路（鑫源路）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8740.82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茂泉路（经二路）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振河路（鑫源路）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7017.76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荣泉路（经三路）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9416.46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惠泉路（经四路）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路南头</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1426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28074.37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福泉路（经四路）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路南头</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9906.47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康泉路（经一路）-1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27268.93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103488.21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46157.21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16452.34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腾逸路（纬二路）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宏盛路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22365.56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纬三路1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20631.52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宏盛路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8376.07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腾翔路（纬四路）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6935.64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32829.29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西邓庄河</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40354.94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鑫源路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18407.07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祥湖路（鑫源路）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44691.30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鑫源路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1200.36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23921.56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振河路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14600.13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铜山区界</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73860.00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腾飞路（城北）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沥青搅拌站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41170.66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腾祥路（经二路一期）</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343.91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7357.72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腾华路-1（纬二路三期）</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12546.67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腾华路-2（纬二路在建）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20202.34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腾启路（纬三路3期在建）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路尽头</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16850.57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夹河矿西侧路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12636.88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庞夹路2（桃园）仅北侧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1170.00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650.00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庞夹路4（桃园）仅南侧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682.50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庞夹路6（桃园）仅南侧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临东村路口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黄河故道北路（观光路）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2768.14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灯杆010</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汇川学校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5401.60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铜山区界</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桃园办事处南侧限高架以北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14291.56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4555.96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灯杆098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8025.94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铁道口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3056.71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药厂门前路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药厂门前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2000.86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张井路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铜山界</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张小楼矿东路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5069.26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张小楼矿东路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张小楼5组</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3253.64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1968.62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39370.38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781464.33 </w:t>
            </w:r>
            <w:r/>
          </w:p>
        </w:tc>
        <w:tc>
          <w:tcPr>
            <w:gridSpan w:val="3"/>
            <w:tcBorders>
              <w:top w:val="single" w:color="000000" w:sz="4" w:space="0"/>
              <w:left w:val="single" w:color="000000" w:sz="4" w:space="0"/>
              <w:bottom w:val="single" w:color="000000" w:sz="4" w:space="0"/>
              <w:right w:val="single" w:color="000000" w:sz="4" w:space="0"/>
            </w:tcBorders>
            <w:tcW w:w="3628" w:type="dxa"/>
            <w:vAlign w:val="center"/>
            <w:textDirection w:val="lrTb"/>
            <w:noWrap/>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bl>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1、在建道路、公厕待投入使用后，经费自作业之日起支付。</w:t>
      </w:r>
      <w:r>
        <w:rPr>
          <w:rFonts w:hint="eastAsia" w:ascii="仿宋" w:hAnsi="仿宋" w:eastAsia="仿宋" w:cs="仿宋"/>
          <w:b/>
          <w:bCs/>
          <w:color w:val="auto"/>
          <w:sz w:val="24"/>
          <w:highlight w:val="none"/>
        </w:rPr>
        <w:br w:type="page" w:clear="all"/>
      </w:r>
      <w:r/>
    </w:p>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采购包5：泉山区苏山、庞庄办事处</w:t>
      </w:r>
      <w:r/>
    </w:p>
    <w:tbl>
      <w:tblPr>
        <w:tblStyle w:val="924"/>
        <w:tblW w:w="14525" w:type="dxa"/>
        <w:jc w:val="center"/>
        <w:tblLayout w:type="fixed"/>
        <w:tblCellMar>
          <w:left w:w="108" w:type="dxa"/>
          <w:top w:w="0" w:type="dxa"/>
          <w:right w:w="108" w:type="dxa"/>
          <w:bottom w:w="0" w:type="dxa"/>
        </w:tblCellMar>
        <w:tblLook w:val="04A0" w:firstRow="1" w:lastRow="0" w:firstColumn="1" w:lastColumn="0" w:noHBand="0" w:noVBand="1"/>
      </w:tblPr>
      <w:tblGrid>
        <w:gridCol w:w="450"/>
        <w:gridCol w:w="974"/>
        <w:gridCol w:w="2325"/>
        <w:gridCol w:w="2175"/>
        <w:gridCol w:w="2205"/>
        <w:gridCol w:w="1245"/>
        <w:gridCol w:w="1575"/>
        <w:gridCol w:w="1096"/>
        <w:gridCol w:w="750"/>
        <w:gridCol w:w="1730"/>
      </w:tblGrid>
      <w:tr>
        <w:trPr>
          <w:jc w:val="center"/>
          <w:trHeight w:val="81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长度(米)</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道路面积</w:t>
            </w:r>
            <w:r>
              <w:rPr>
                <w:rFonts w:hint="eastAsia" w:ascii="仿宋" w:hAnsi="仿宋" w:eastAsia="仿宋" w:cs="仿宋"/>
                <w:b/>
                <w:bCs/>
                <w:color w:val="auto"/>
                <w:sz w:val="22"/>
                <w:szCs w:val="22"/>
                <w:highlight w:val="none"/>
                <w:lang w:bidi="ar"/>
              </w:rPr>
              <w:br/>
            </w:r>
            <w:r>
              <w:rPr>
                <w:rFonts w:hint="eastAsia" w:ascii="仿宋" w:hAnsi="仿宋" w:eastAsia="仿宋" w:cs="仿宋"/>
                <w:b/>
                <w:bCs/>
                <w:color w:val="auto"/>
                <w:sz w:val="22"/>
                <w:szCs w:val="22"/>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人工清扫级别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机械化模式</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特殊要求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9120.47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祥湖路（鑫源路）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18286.38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时代大道东延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港务区界</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9980.57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7207.18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18312.76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驳运点巷口路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474.56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陈庄村东路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5455.26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陈庄市场路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4503.72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庞东公路庞东公路（208县道）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徐丰公路辅路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12125.72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1795.50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庞夹路2（庞庄）仅南侧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1170.00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庞夹路4（庞庄）仅北侧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682.50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临东村路口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10400.00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庞夹路6（庞庄）仅北侧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临东村路口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黄河故道北路（观光路）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2768.14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灯杆098</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2973.11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盛泉路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12865.08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113362.80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顺达路-1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同发路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16803.95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10346.56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5503.02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36358.69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79467.86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同发路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30458.32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旺泉路-1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同发路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6737.48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旺泉路-2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同发路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6224.83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西邓庄河</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19149.70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4224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175782.89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中欧尚郡与张小楼嘉苑中间路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中欧尚郡小区最东侧</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5195.28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灯杆010</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1837.50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王桃路（庞夹路东延）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宝应煤矿工人村路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11905.00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陈庄桥及以南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陈庄桥</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伟润建材公司门前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庞夹路西段（未修）</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39900.00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规划一路（未修）</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现状围墙处</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2282.00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公租房南侧道路（未修）</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规划道路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8600.00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电厂环形路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华美和苑</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电厂东门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1200.00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和美家苑西侧</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10911.15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18188.40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778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5321.26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村委会桥</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6065.88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二环北路西延-1（在建）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3414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150324.47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汉城西路-1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62号变压器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8303.25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1191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25695.24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37283.41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桃园办事处南侧限高架以南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桥南限高架</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21608.51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敬安路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3742.38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九里山西路延长段-1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青年路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2387.58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九里山西路延长段-2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657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4021.15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康馨社区西侧路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2505.67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22900.85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23423.38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文化路（苏山）</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桃园铁路下穿</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7327.70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西断头</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文学西路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10707.55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白云洞</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8276.87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5775.94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襄王路隧道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6472.59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烟厂南路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铁路隧道口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1789.38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下穿工程路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庞夹线3</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大许庄</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1362.90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4220.42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苏裕路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2111.94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苏中巷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苏裕路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市场东路公厕</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436.24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苏中巷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苏裕路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720.06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二环北路西延-2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铜山界</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7204.40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港兴路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铁路下穿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14494.20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大宗物流集散中心南侧道路（未修）</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港兴路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铜山货场东侧</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青年路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778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5321.26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观棠雅居西侧路（在建）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观棠雅居门口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56424.25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1129260.86 </w:t>
            </w:r>
            <w:r/>
          </w:p>
        </w:tc>
        <w:tc>
          <w:tcPr>
            <w:gridSpan w:val="3"/>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bl>
    <w:p>
      <w:pPr>
        <w:spacing w:line="360" w:lineRule="auto"/>
        <w:rPr>
          <w:rFonts w:ascii="仿宋" w:hAnsi="仿宋" w:eastAsia="仿宋" w:cs="仿宋"/>
          <w:b/>
          <w:color w:val="auto"/>
          <w:sz w:val="30"/>
          <w:highlight w:val="none"/>
        </w:rPr>
      </w:pPr>
      <w:r>
        <w:rPr>
          <w:rFonts w:hint="eastAsia" w:ascii="仿宋" w:hAnsi="仿宋" w:eastAsia="仿宋" w:cs="仿宋"/>
          <w:color w:val="auto"/>
          <w:sz w:val="24"/>
          <w:szCs w:val="32"/>
          <w:highlight w:val="none"/>
        </w:rPr>
        <w:t xml:space="preserve">1、在建道路、公厕待投入使用后，经费自作业之日起支付。</w:t>
      </w:r>
      <w:r>
        <w:rPr>
          <w:rFonts w:hint="eastAsia" w:ascii="仿宋" w:hAnsi="仿宋" w:eastAsia="仿宋" w:cs="仿宋"/>
          <w:b/>
          <w:color w:val="auto"/>
          <w:sz w:val="30"/>
          <w:highlight w:val="none"/>
        </w:rPr>
        <w:br w:type="page" w:clear="all"/>
      </w:r>
      <w:r/>
    </w:p>
    <w:p>
      <w:pPr>
        <w:rPr>
          <w:rFonts w:ascii="仿宋" w:hAnsi="仿宋" w:eastAsia="仿宋" w:cs="仿宋"/>
          <w:b/>
          <w:color w:val="auto"/>
          <w:sz w:val="30"/>
          <w:highlight w:val="none"/>
        </w:rPr>
        <w:sectPr>
          <w:footnotePr/>
          <w:endnotePr/>
          <w:type w:val="nextPage"/>
          <w:pgSz w:w="16838" w:h="11906" w:orient="landscape"/>
          <w:pgMar w:top="1803" w:right="1440" w:bottom="1803" w:left="1440" w:header="851" w:footer="992" w:gutter="0"/>
          <w:cols w:num="1" w:sep="0" w:space="1701" w:equalWidth="1"/>
          <w:docGrid w:linePitch="360"/>
        </w:sectPr>
      </w:pPr>
      <w:r>
        <w:rPr>
          <w:rFonts w:ascii="仿宋" w:hAnsi="仿宋" w:eastAsia="仿宋" w:cs="仿宋"/>
          <w:b/>
          <w:color w:val="auto"/>
          <w:sz w:val="30"/>
          <w:highlight w:val="none"/>
        </w:rPr>
      </w:r>
      <w:r/>
    </w:p>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附件2：各采购包公厕划分明细表</w:t>
      </w:r>
      <w:r/>
    </w:p>
    <w:p>
      <w:pPr>
        <w:jc w:val="left"/>
        <w:spacing w:line="560" w:lineRule="atLeas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采购包1：泉山区翟山、金山、奎山、泰山、七里沟办事处</w:t>
      </w:r>
      <w:r/>
    </w:p>
    <w:p>
      <w:pPr>
        <w:pStyle w:val="930"/>
        <w:jc w:val="center"/>
        <w:rPr>
          <w:rFonts w:ascii="仿宋" w:hAnsi="仿宋" w:eastAsia="仿宋" w:cs="仿宋"/>
          <w:color w:val="auto"/>
          <w:highlight w:val="none"/>
          <w:lang w:eastAsia="zh-CN"/>
        </w:rPr>
      </w:pPr>
      <w:r>
        <w:rPr>
          <w:rFonts w:ascii="仿宋" w:hAnsi="仿宋" w:eastAsia="仿宋" w:cs="仿宋"/>
          <w:color w:val="auto"/>
          <w:highlight w:val="none"/>
          <w:lang w:eastAsia="zh-CN"/>
        </w:rPr>
      </w:r>
      <w:r/>
    </w:p>
    <w:tbl>
      <w:tblPr>
        <w:tblStyle w:val="924"/>
        <w:tblW w:w="9600" w:type="dxa"/>
        <w:jc w:val="center"/>
        <w:tblLayout w:type="autofit"/>
        <w:tblCellMar>
          <w:left w:w="108" w:type="dxa"/>
          <w:top w:w="0" w:type="dxa"/>
          <w:right w:w="108" w:type="dxa"/>
          <w:bottom w:w="0" w:type="dxa"/>
        </w:tblCellMar>
        <w:tblLook w:val="04A0" w:firstRow="1" w:lastRow="0" w:firstColumn="1" w:lastColumn="0" w:noHBand="0" w:noVBand="1"/>
      </w:tblPr>
      <w:tblGrid>
        <w:gridCol w:w="903"/>
        <w:gridCol w:w="937"/>
        <w:gridCol w:w="3431"/>
        <w:gridCol w:w="3205"/>
        <w:gridCol w:w="1124"/>
      </w:tblGrid>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公厕地点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公厕星级</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学府路口袋公园公厕 </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学府路和新泰路交叉口</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彭园东门公厕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彭园东门</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易初爱莲公厕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金山东路东头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塔东路公厕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塔东路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奎山老年活动中心公厕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奎山老年活动中心</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奎东村公厕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奎东村内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奎园小区西门公厕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奎园小区西门</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奎山农贸市场公厕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奎山农贸市场外</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山水丽庭3号楼东侧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骆驼公园公厕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蓝湾商务港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装配式公厕（一）</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奎山中心小学东北100米</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世纪大道公厕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三官庙农贸市场公厕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三官庙农贸市场外</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梨园路北头公厕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金山东路与梨园路交叉口东南角绿地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党校路公厕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铁路党校宿舍北侧  拆除重建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汽车南站对面公厕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汽车南站对面绿地内  新建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金奎公园公厕1</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金奎公园公厕2</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泰山路南头公厕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金山南门公厕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金山南门</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金山中转站公厕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金山东路西头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金山村北头公厕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金山村北头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城管局西南公厕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华盛景园路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长安路天桥北侧路西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翡翠城南公厕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欣欣路和长安路交叉口路东</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维利亚西侧公厕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维利亚西侧公厕</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翟山农贸公厕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翟山农贸市场南门西侧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御景湾公厕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海棠路与郁金香路交叉口</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花语路公厕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花语路东头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碧水湾公厕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嘉美路西头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奎西村公厕（在建）</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奎西村</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bl>
    <w:p>
      <w:pPr>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left"/>
        <w:spacing w:line="560" w:lineRule="atLeas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采购包2：泉山区和平、王陵、永安办事处</w:t>
      </w:r>
      <w:r/>
    </w:p>
    <w:tbl>
      <w:tblPr>
        <w:tblStyle w:val="924"/>
        <w:tblW w:w="9600" w:type="dxa"/>
        <w:jc w:val="center"/>
        <w:tblLayout w:type="autofit"/>
        <w:tblCellMar>
          <w:left w:w="108" w:type="dxa"/>
          <w:top w:w="0" w:type="dxa"/>
          <w:right w:w="108" w:type="dxa"/>
          <w:bottom w:w="0" w:type="dxa"/>
        </w:tblCellMar>
        <w:tblLook w:val="04A0" w:firstRow="1" w:lastRow="0" w:firstColumn="1" w:lastColumn="0" w:noHBand="0" w:noVBand="1"/>
      </w:tblPr>
      <w:tblGrid>
        <w:gridCol w:w="903"/>
        <w:gridCol w:w="937"/>
        <w:gridCol w:w="3430"/>
        <w:gridCol w:w="3206"/>
        <w:gridCol w:w="1124"/>
      </w:tblGrid>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公厕地点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公厕星级</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光荣一巷公厕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光荣一巷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醒狮小区公厕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醒狮小区内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建国西路公厕1</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和平西路公厕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和平西路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云龙公园北门公厕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云龙公园北门</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美人巷公厕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新华书店西侧巷内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夹河街东头公厕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夹河街东头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王陵路东头公厕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王陵路东头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国华大厦附近公厕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临近中山路、市区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道平支路公厕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道平支路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民有理公厕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民有理街内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培正巷公厕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培正巷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和平新村东门公厕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和平新村</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西苑体育休闲广场公厕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西苑体育休闲广场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艺君小广场内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果园平房内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矿山东路北头公厕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黄河新村38号公厕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黄河新村内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都市家园南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矿山东路南头公厕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西苑农贸市场公厕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西苑农贸市场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垃圾分类主题公园公厕 </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黄河南路与二环西路交叉口</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民乐园公厕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民乐园小区内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民安园公厕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民安园小区内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黄河南路公厕-1</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黄河南路和平办事处西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西安路桥西公厕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黄河南路西安路桥西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段庄广场公厕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段庄广场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建国西路公厕2</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建国西路恒盛广场东侧广场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苏堤南路灯塔农贸市场南公厕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灯塔农贸市场南路东</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苏堤南路灯塔农贸市场对面公厕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灯塔农贸市场对面路西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纺织东路（农贸市场）公厕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纺织东路段庄农贸市场南侧停车场内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欧庄路31中东校区北100米</w:t>
            </w:r>
            <w:r/>
          </w:p>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苏堤南路西头公厕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苏堤南路万宁华府斜对面</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王陵路与西安南路交叉口</w:t>
            </w:r>
            <w:r/>
          </w:p>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西北角</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吴庄路北头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外余窑路吴庄西巷口内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邮政局东公厕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建国西路永安邮电局东侧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明珠路与纺织路交叉口东南角</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振兴巷公厕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振兴巷南头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劳动局巷内公厕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西安南路市劳动局南侧巷口内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纺南小区公厕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二环西路纺南小区内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一人巷公厕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欧庄路与煤建三街交叉口</w:t>
            </w:r>
            <w:r/>
          </w:p>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东北角</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bl>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930"/>
        <w:rPr>
          <w:b/>
          <w:bCs/>
          <w:color w:val="auto"/>
          <w:highlight w:val="none"/>
          <w:lang w:eastAsia="zh-CN"/>
        </w:rPr>
      </w:pPr>
      <w:r>
        <w:rPr>
          <w:rFonts w:hint="eastAsia" w:ascii="仿宋" w:hAnsi="仿宋" w:eastAsia="仿宋" w:cs="仿宋"/>
          <w:b/>
          <w:bCs/>
          <w:color w:val="auto"/>
          <w:highlight w:val="none"/>
          <w:lang w:eastAsia="zh-CN"/>
        </w:rPr>
        <w:t xml:space="preserve">采购包3：泉山区段庄、湖滨、火花办事处</w:t>
      </w:r>
      <w:r/>
    </w:p>
    <w:tbl>
      <w:tblPr>
        <w:tblStyle w:val="924"/>
        <w:tblW w:w="9600" w:type="dxa"/>
        <w:jc w:val="center"/>
        <w:tblLayout w:type="autofit"/>
        <w:tblCellMar>
          <w:left w:w="108" w:type="dxa"/>
          <w:top w:w="0" w:type="dxa"/>
          <w:right w:w="108" w:type="dxa"/>
          <w:bottom w:w="0" w:type="dxa"/>
        </w:tblCellMar>
        <w:tblLook w:val="04A0" w:firstRow="1" w:lastRow="0" w:firstColumn="1" w:lastColumn="0" w:noHBand="0" w:noVBand="1"/>
      </w:tblPr>
      <w:tblGrid>
        <w:gridCol w:w="903"/>
        <w:gridCol w:w="937"/>
        <w:gridCol w:w="3430"/>
        <w:gridCol w:w="3205"/>
        <w:gridCol w:w="1125"/>
      </w:tblGrid>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公厕地点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公厕星级</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韩山公园北公厕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韩山公园</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韩山公园南公厕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韩山公园</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湖滨办事处西侧公厕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湖滨办事处西侧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望湖公厕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湖滨广场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雁山农贸市场西北侧公厕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雁山农贸市场西北侧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汉黄路公厕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汉黄路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火花农贸市场公厕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荣盛三期北侧口袋公园公厕（碳中和公园公厕）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新淮海西路与杏山子大道交叉口东南侧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开元新建公厕（在建）</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开元路三环西路交叉口</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采购包4：泉山区城北开发区、桃园办事处</w:t>
      </w:r>
      <w:r/>
    </w:p>
    <w:tbl>
      <w:tblPr>
        <w:tblStyle w:val="924"/>
        <w:tblW w:w="9600" w:type="dxa"/>
        <w:jc w:val="center"/>
        <w:tblLayout w:type="autofit"/>
        <w:tblCellMar>
          <w:left w:w="108" w:type="dxa"/>
          <w:top w:w="0" w:type="dxa"/>
          <w:right w:w="108" w:type="dxa"/>
          <w:bottom w:w="0" w:type="dxa"/>
        </w:tblCellMar>
        <w:tblLook w:val="04A0" w:firstRow="1" w:lastRow="0" w:firstColumn="1" w:lastColumn="0" w:noHBand="0" w:noVBand="1"/>
      </w:tblPr>
      <w:tblGrid>
        <w:gridCol w:w="903"/>
        <w:gridCol w:w="1504"/>
        <w:gridCol w:w="2863"/>
        <w:gridCol w:w="3206"/>
        <w:gridCol w:w="1124"/>
      </w:tblGrid>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公厕地点</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公厕星级</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临黄五队公厕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临黄五队公厕</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张小楼一组村南公厕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张小楼一组村南</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黄河观光路公厕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黄河观光路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民新路公厕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民新路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临黄居委会公厕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临黄居委会旁</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临黄三组中心公厕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临黄三组中心</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临黄六组中心路公厕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临黄六组中心路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bl>
    <w:p>
      <w:pPr>
        <w:pStyle w:val="931"/>
        <w:rPr>
          <w:rFonts w:ascii="仿宋" w:hAnsi="仿宋" w:eastAsia="仿宋" w:cs="仿宋"/>
          <w:b/>
          <w:bCs/>
          <w:color w:val="auto"/>
          <w:sz w:val="30"/>
          <w:highlight w:val="none"/>
        </w:rPr>
      </w:pPr>
      <w:r>
        <w:rPr>
          <w:rFonts w:hint="eastAsia" w:ascii="仿宋" w:hAnsi="仿宋" w:eastAsia="仿宋" w:cs="仿宋"/>
          <w:b/>
          <w:bCs/>
          <w:color w:val="auto"/>
          <w:sz w:val="24"/>
          <w:szCs w:val="24"/>
          <w:highlight w:val="none"/>
        </w:rPr>
        <w:t xml:space="preserve">采购包5：泉山区苏山、庞庄办事处</w:t>
      </w:r>
      <w:r/>
    </w:p>
    <w:tbl>
      <w:tblPr>
        <w:tblStyle w:val="924"/>
        <w:tblpPr w:horzAnchor="page" w:tblpX="1381" w:vertAnchor="text" w:tblpY="20" w:leftFromText="180" w:topFromText="0" w:rightFromText="180" w:bottomFromText="0"/>
        <w:tblW w:w="9600" w:type="dxa"/>
        <w:tblInd w:w="0" w:type="dxa"/>
        <w:tblLayout w:type="autofit"/>
        <w:tblCellMar>
          <w:left w:w="108" w:type="dxa"/>
          <w:top w:w="0" w:type="dxa"/>
          <w:right w:w="108" w:type="dxa"/>
          <w:bottom w:w="0" w:type="dxa"/>
        </w:tblCellMar>
        <w:tblLook w:val="04A0" w:firstRow="1" w:lastRow="0" w:firstColumn="1" w:lastColumn="0" w:noHBand="0" w:noVBand="1"/>
      </w:tblPr>
      <w:tblGrid>
        <w:gridCol w:w="903"/>
        <w:gridCol w:w="937"/>
        <w:gridCol w:w="3430"/>
        <w:gridCol w:w="3206"/>
        <w:gridCol w:w="1124"/>
      </w:tblGrid>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公厕地点</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公厕星级</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九里湖西湖西岸公厕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九里湖西湖西岸</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九里湖东南公厕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九里湖东南</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矿南路西头新建公厕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九里西湖西南公厕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九里西湖东南公厕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陈庄村委会公厕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陈庄村委会</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陈庄市场南公厕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陈庄市场南</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54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汉城西路公厕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汉城路与三环西路交叉口</w:t>
            </w:r>
            <w:r/>
          </w:p>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东侧空地</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苏丁路市场西公厕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苏丁路市场西</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丁王庄路公厕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丁王庄路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苏山农贸市场东南公厕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苏山农贸市场东南</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木材市场门西侧公厕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黄河北路木材市场</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bl>
    <w:p>
      <w:pPr>
        <w:pStyle w:val="931"/>
        <w:rPr>
          <w:rFonts w:ascii="仿宋" w:hAnsi="仿宋" w:eastAsia="仿宋" w:cs="仿宋"/>
          <w:b/>
          <w:color w:val="auto"/>
          <w:sz w:val="30"/>
          <w:highlight w:val="none"/>
        </w:rPr>
      </w:pPr>
      <w:r>
        <w:rPr>
          <w:rFonts w:hint="eastAsia" w:ascii="仿宋" w:hAnsi="仿宋" w:eastAsia="仿宋" w:cs="仿宋"/>
          <w:b/>
          <w:color w:val="auto"/>
          <w:sz w:val="30"/>
          <w:highlight w:val="none"/>
        </w:rPr>
        <w:br w:type="page" w:clear="all"/>
      </w:r>
      <w:r/>
    </w:p>
    <w:p>
      <w:pPr>
        <w:spacing w:line="360" w:lineRule="auto"/>
        <w:rPr>
          <w:rFonts w:ascii="仿宋" w:hAnsi="仿宋" w:eastAsia="仿宋" w:cs="仿宋"/>
          <w:color w:val="auto"/>
          <w:highlight w:val="none"/>
        </w:rPr>
      </w:pPr>
      <w:r>
        <w:rPr>
          <w:rFonts w:hint="eastAsia" w:ascii="仿宋" w:hAnsi="仿宋" w:eastAsia="仿宋" w:cs="仿宋"/>
          <w:b/>
          <w:color w:val="auto"/>
          <w:sz w:val="30"/>
          <w:highlight w:val="none"/>
        </w:rPr>
        <w:t xml:space="preserve">第七章 投标文件相关格式</w:t>
      </w:r>
      <w:r/>
    </w:p>
    <w:p>
      <w:pPr>
        <w:ind w:firstLine="1928"/>
        <w:spacing w:line="360" w:lineRule="auto"/>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一、投标函格式</w:t>
      </w:r>
      <w:r/>
    </w:p>
    <w:p>
      <w:pPr>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致：</w:t>
      </w:r>
      <w:r>
        <w:rPr>
          <w:rFonts w:hint="eastAsia" w:ascii="仿宋" w:hAnsi="仿宋" w:eastAsia="仿宋" w:cs="仿宋"/>
          <w:color w:val="auto"/>
          <w:sz w:val="30"/>
          <w:highlight w:val="none"/>
          <w:u w:val="single"/>
        </w:rPr>
        <w:t xml:space="preserve"> 徐州市泉山区城市管理局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根据</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]招标文件，</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(姓名)代表我方</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（投标人的名称）全权处理本次投标的有关事宜。</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据此函，投标人承诺并同意如下：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 投标人唯一投标报价见《开标一览表》。</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 投标人将按招标文件的规定履行合同责任和义务。</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 投标有效期为开标之日后90天。</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 投标人在投标初始有效期内撤回投标，其投标保证金将不退还。</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 投标人同意在授予合同后，按照有关规定支付公证费(如有)。</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 采购人或采购代理机构有权将我单位本项目的《开标一览表》和《分项价格表》予以公示，公示的方式由江苏天同工程咨询有限公司确定。</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 与本投标有关的一切正式往来信函请寄：</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电话：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传真： </w:t>
      </w:r>
      <w:r/>
    </w:p>
    <w:p>
      <w:pPr>
        <w:ind w:firstLine="2700"/>
        <w:spacing w:line="23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27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640"/>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二、开标一览表格式</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51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lang w:eastAsia="zh-CN"/>
        </w:rPr>
        <w:t xml:space="preserve">JSZC-320311-TTDL-G2026-0003</w:t>
      </w:r>
      <w:r/>
    </w:p>
    <w:p>
      <w:pP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项目名称：泉山区环卫市场化保洁项目</w:t>
      </w:r>
      <w:r/>
    </w:p>
    <w:p>
      <w:pPr>
        <w:jc w:val="righ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货币单位：人民币元</w:t>
      </w:r>
      <w:r/>
    </w:p>
    <w:tbl>
      <w:tblPr>
        <w:tblStyle w:val="924"/>
        <w:tblpPr w:horzAnchor="page" w:tblpX="1843" w:vertAnchor="text" w:tblpY="423" w:leftFromText="180" w:topFromText="0" w:rightFromText="180" w:bottomFromText="0"/>
        <w:tblW w:w="91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825"/>
        <w:gridCol w:w="1508"/>
        <w:gridCol w:w="2320"/>
        <w:gridCol w:w="1440"/>
      </w:tblGrid>
      <w:tr>
        <w:trPr>
          <w:trHeight w:val="1163"/>
        </w:trPr>
        <w:tc>
          <w:tcPr>
            <w:tcMar>
              <w:left w:w="108" w:type="dxa"/>
              <w:top w:w="0" w:type="dxa"/>
              <w:right w:w="108" w:type="dxa"/>
              <w:bottom w:w="0" w:type="dxa"/>
            </w:tcMar>
            <w:tcW w:w="2053"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w:t>
            </w:r>
            <w:r/>
          </w:p>
        </w:tc>
        <w:tc>
          <w:tcPr>
            <w:tcMar>
              <w:left w:w="108" w:type="dxa"/>
              <w:top w:w="0" w:type="dxa"/>
              <w:right w:w="108" w:type="dxa"/>
              <w:bottom w:w="0" w:type="dxa"/>
            </w:tcMar>
            <w:tcW w:w="1825"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采购包名称</w:t>
            </w:r>
            <w:r/>
          </w:p>
        </w:tc>
        <w:tc>
          <w:tcPr>
            <w:tcMar>
              <w:left w:w="108" w:type="dxa"/>
              <w:top w:w="0" w:type="dxa"/>
              <w:right w:w="108" w:type="dxa"/>
              <w:bottom w:w="0" w:type="dxa"/>
            </w:tcMar>
            <w:tcW w:w="1508"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服务期限</w:t>
            </w:r>
            <w:r/>
          </w:p>
        </w:tc>
        <w:tc>
          <w:tcPr>
            <w:tcMar>
              <w:left w:w="108" w:type="dxa"/>
              <w:top w:w="0" w:type="dxa"/>
              <w:right w:w="108" w:type="dxa"/>
              <w:bottom w:w="0" w:type="dxa"/>
            </w:tcMar>
            <w:tcW w:w="2320" w:type="dxa"/>
            <w:vAlign w:val="center"/>
            <w:textDirection w:val="lrTb"/>
            <w:noWrap w:val="false"/>
          </w:tcPr>
          <w:p>
            <w:pPr>
              <w:jc w:val="cente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项目内容</w:t>
            </w:r>
            <w:r/>
          </w:p>
        </w:tc>
        <w:tc>
          <w:tcPr>
            <w:tcMar>
              <w:left w:w="108" w:type="dxa"/>
              <w:top w:w="0" w:type="dxa"/>
              <w:right w:w="108" w:type="dxa"/>
              <w:bottom w:w="0" w:type="dxa"/>
            </w:tcMar>
            <w:tcW w:w="1440" w:type="dxa"/>
            <w:vAlign w:val="center"/>
            <w:textDirection w:val="lrTb"/>
            <w:noWrap w:val="false"/>
          </w:tcPr>
          <w:p>
            <w:pPr>
              <w:jc w:val="cente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总价</w:t>
            </w:r>
            <w:r/>
          </w:p>
          <w:p>
            <w:pPr>
              <w:jc w:val="cente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（小写）</w:t>
            </w:r>
            <w:r/>
          </w:p>
        </w:tc>
      </w:tr>
      <w:tr>
        <w:trPr>
          <w:trHeight w:val="1214"/>
        </w:trPr>
        <w:tc>
          <w:tcPr>
            <w:tcMar>
              <w:left w:w="108" w:type="dxa"/>
              <w:top w:w="0" w:type="dxa"/>
              <w:right w:w="108" w:type="dxa"/>
              <w:bottom w:w="0" w:type="dxa"/>
            </w:tcMar>
            <w:tcW w:w="2053"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泉山区环卫市场化保洁项目</w:t>
            </w:r>
            <w:r/>
          </w:p>
        </w:tc>
        <w:tc>
          <w:tcPr>
            <w:tcMar>
              <w:left w:w="108" w:type="dxa"/>
              <w:top w:w="0" w:type="dxa"/>
              <w:right w:w="108" w:type="dxa"/>
              <w:bottom w:w="0" w:type="dxa"/>
            </w:tcMar>
            <w:tcW w:w="1825"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tc>
        <w:tc>
          <w:tcPr>
            <w:tcMar>
              <w:left w:w="108" w:type="dxa"/>
              <w:top w:w="0" w:type="dxa"/>
              <w:right w:w="108" w:type="dxa"/>
              <w:bottom w:w="0" w:type="dxa"/>
            </w:tcMar>
            <w:tcW w:w="1508" w:type="dxa"/>
            <w:vAlign w:val="center"/>
            <w:textDirection w:val="lrTb"/>
            <w:noWrap w:val="false"/>
          </w:tcPr>
          <w:p>
            <w:pPr>
              <w:jc w:val="cente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3年</w:t>
            </w:r>
            <w:r/>
          </w:p>
        </w:tc>
        <w:tc>
          <w:tcPr>
            <w:tcMar>
              <w:left w:w="108" w:type="dxa"/>
              <w:top w:w="0" w:type="dxa"/>
              <w:right w:w="108" w:type="dxa"/>
              <w:bottom w:w="0" w:type="dxa"/>
            </w:tcMar>
            <w:tcW w:w="2320"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详见投标文件</w:t>
            </w:r>
            <w:r/>
          </w:p>
        </w:tc>
        <w:tc>
          <w:tcPr>
            <w:tcMar>
              <w:left w:w="108" w:type="dxa"/>
              <w:top w:w="0" w:type="dxa"/>
              <w:right w:w="108" w:type="dxa"/>
              <w:bottom w:w="0" w:type="dxa"/>
            </w:tcMar>
            <w:tcW w:w="1440"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tc>
      </w:tr>
      <w:tr>
        <w:trPr>
          <w:trHeight w:val="947"/>
        </w:trPr>
        <w:tc>
          <w:tcPr>
            <w:gridSpan w:val="2"/>
            <w:tcMar>
              <w:left w:w="108" w:type="dxa"/>
              <w:top w:w="0" w:type="dxa"/>
              <w:right w:w="108" w:type="dxa"/>
              <w:bottom w:w="0" w:type="dxa"/>
            </w:tcMar>
            <w:tcW w:w="3878" w:type="dxa"/>
            <w:vAlign w:val="center"/>
            <w:textDirection w:val="lrTb"/>
            <w:noWrap w:val="false"/>
          </w:tcPr>
          <w:p>
            <w:pPr>
              <w:jc w:val="cente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总价（大写）：</w:t>
            </w:r>
            <w:r/>
          </w:p>
        </w:tc>
        <w:tc>
          <w:tcPr>
            <w:gridSpan w:val="3"/>
            <w:tcMar>
              <w:left w:w="108" w:type="dxa"/>
              <w:top w:w="0" w:type="dxa"/>
              <w:right w:w="108" w:type="dxa"/>
              <w:bottom w:w="0" w:type="dxa"/>
            </w:tcMar>
            <w:tcW w:w="5268"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tc>
      </w:tr>
    </w:tbl>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482"/>
        <w:rPr>
          <w:rFonts w:ascii="仿宋" w:hAnsi="仿宋" w:eastAsia="仿宋" w:cs="仿宋"/>
          <w:b/>
          <w:bCs/>
          <w:color w:val="auto"/>
          <w:sz w:val="24"/>
          <w:szCs w:val="32"/>
          <w:highlight w:val="none"/>
        </w:rPr>
      </w:pPr>
      <w:r>
        <w:rPr>
          <w:rFonts w:ascii="仿宋" w:hAnsi="仿宋" w:eastAsia="仿宋" w:cs="仿宋"/>
          <w:b/>
          <w:bCs/>
          <w:color w:val="auto"/>
          <w:sz w:val="24"/>
          <w:szCs w:val="32"/>
          <w:highlight w:val="none"/>
        </w:rPr>
      </w:r>
      <w:r/>
    </w:p>
    <w:p>
      <w:pPr>
        <w:ind w:firstLine="482"/>
        <w:rPr>
          <w:rFonts w:ascii="仿宋" w:hAnsi="仿宋" w:eastAsia="仿宋" w:cs="仿宋"/>
          <w:b/>
          <w:bCs/>
          <w:color w:val="auto"/>
          <w:sz w:val="24"/>
          <w:szCs w:val="32"/>
          <w:highlight w:val="none"/>
        </w:rPr>
      </w:pPr>
      <w:r>
        <w:rPr>
          <w:rFonts w:ascii="仿宋" w:hAnsi="仿宋" w:eastAsia="仿宋" w:cs="仿宋"/>
          <w:b/>
          <w:bCs/>
          <w:color w:val="auto"/>
          <w:sz w:val="24"/>
          <w:szCs w:val="32"/>
          <w:highlight w:val="none"/>
        </w:rPr>
      </w:r>
      <w:r/>
    </w:p>
    <w:p>
      <w:pPr>
        <w:ind w:firstLine="482"/>
        <w:rPr>
          <w:rFonts w:ascii="仿宋" w:hAnsi="仿宋" w:eastAsia="仿宋" w:cs="仿宋"/>
          <w:b/>
          <w:bCs/>
          <w:color w:val="auto"/>
          <w:sz w:val="24"/>
          <w:szCs w:val="32"/>
          <w:highlight w:val="none"/>
        </w:rPr>
      </w:pPr>
      <w:r>
        <w:rPr>
          <w:rFonts w:ascii="仿宋" w:hAnsi="仿宋" w:eastAsia="仿宋" w:cs="仿宋"/>
          <w:b/>
          <w:bCs/>
          <w:color w:val="auto"/>
          <w:sz w:val="24"/>
          <w:szCs w:val="32"/>
          <w:highlight w:val="none"/>
        </w:rPr>
      </w:r>
      <w:r/>
    </w:p>
    <w:p>
      <w:pPr>
        <w:ind w:firstLine="482"/>
        <w:rPr>
          <w:rFonts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投标人承诺：本项目由投标人本企业提供服务。</w:t>
      </w:r>
      <w:r/>
    </w:p>
    <w:p>
      <w:pPr>
        <w:rPr>
          <w:rFonts w:ascii="仿宋" w:hAnsi="仿宋" w:eastAsia="仿宋" w:cs="仿宋"/>
          <w:color w:val="auto"/>
          <w:sz w:val="24"/>
          <w:szCs w:val="32"/>
          <w:highlight w:val="none"/>
        </w:rPr>
      </w:pPr>
      <w:r>
        <w:rPr>
          <w:rFonts w:ascii="仿宋" w:hAnsi="仿宋" w:eastAsia="仿宋" w:cs="仿宋"/>
          <w:color w:val="auto"/>
          <w:sz w:val="24"/>
          <w:szCs w:val="32"/>
          <w:highlight w:val="none"/>
        </w:rPr>
      </w:r>
      <w:r/>
    </w:p>
    <w:p>
      <w:pP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报价说明：</w:t>
      </w:r>
      <w:r/>
    </w:p>
    <w:p>
      <w:pPr>
        <w:ind w:firstLine="48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投标报价应包含完成本项目所需的全部费用，包括但不限于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采购人不再支付报价以外的任何费用。</w:t>
      </w:r>
      <w:r/>
    </w:p>
    <w:p>
      <w:pPr>
        <w:ind w:firstLine="48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2、报价以总价为准，大小写不一致以大写为准；</w:t>
      </w:r>
      <w:r/>
    </w:p>
    <w:p>
      <w:pPr>
        <w:ind w:firstLine="48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3、偏离说明：详见《偏离表》。</w:t>
      </w:r>
      <w:r/>
    </w:p>
    <w:p>
      <w:pPr>
        <w:ind w:firstLine="276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firstLine="33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33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39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33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三、分项价格表格式</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JSZC-320311-TTDL-G2026-0003</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项目名称：泉山区环卫市场化保洁项目</w:t>
      </w:r>
      <w:r/>
    </w:p>
    <w:p>
      <w:pPr>
        <w:pStyle w:val="966"/>
        <w:ind w:left="0"/>
        <w:rPr>
          <w:rFonts w:ascii="仿宋" w:hAnsi="仿宋" w:eastAsia="仿宋" w:cs="仿宋"/>
          <w:color w:val="auto"/>
          <w:highlight w:val="none"/>
        </w:rPr>
      </w:pPr>
      <w:r>
        <w:rPr>
          <w:rFonts w:hint="eastAsia" w:ascii="仿宋" w:hAnsi="仿宋" w:eastAsia="仿宋" w:cs="仿宋"/>
          <w:color w:val="auto"/>
          <w:sz w:val="28"/>
          <w:szCs w:val="28"/>
          <w:highlight w:val="none"/>
        </w:rPr>
        <w:t xml:space="preserve">采购包名称：</w:t>
      </w:r>
      <w:r/>
    </w:p>
    <w:p>
      <w:pPr>
        <w:jc w:val="righ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货币单位：人民币元</w:t>
      </w:r>
      <w:r/>
    </w:p>
    <w:p>
      <w:pPr>
        <w:ind w:firstLine="3120"/>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4705"/>
        <w:gridCol w:w="2848"/>
      </w:tblGrid>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报价内容</w:t>
            </w:r>
            <w:r/>
          </w:p>
        </w:tc>
        <w:tc>
          <w:tcPr>
            <w:tcW w:w="3130"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投标报价（/3年）</w:t>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人员工资</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社保费、雇主责任险</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车辆、设备设施运维费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4</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管理费及相关费用</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易耗品、工作服等</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利润</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税费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lang w:eastAsia="zh-CN"/>
              </w:rPr>
              <w:t xml:space="preserve">……</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gridSpan w:val="3"/>
            <w:tcW w:w="9390" w:type="dxa"/>
            <w:textDirection w:val="lrTb"/>
            <w:noWrap w:val="false"/>
          </w:tcPr>
          <w:p>
            <w:pPr>
              <w:numPr>
                <w:ilvl w:val="0"/>
                <w:numId w:val="0"/>
              </w:num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p>
            <w:pPr>
              <w:ind w:firstLine="480"/>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①</w:t>
            </w:r>
            <w:r>
              <w:rPr>
                <w:rFonts w:hint="eastAsia" w:ascii="仿宋" w:hAnsi="仿宋" w:eastAsia="仿宋" w:cs="仿宋"/>
                <w:color w:val="auto"/>
                <w:sz w:val="24"/>
                <w:szCs w:val="32"/>
                <w:highlight w:val="none"/>
              </w:rPr>
              <w:t xml:space="preserve">投标报价应包含完成本项目所需的全部费用，包括但不限于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采购人不再支付报价以外的任何费用。</w:t>
            </w:r>
            <w:r/>
          </w:p>
        </w:tc>
      </w:tr>
    </w:tbl>
    <w:p>
      <w:pPr>
        <w:pStyle w:val="966"/>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966"/>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3640"/>
        <w:spacing w:line="30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投标人（电子签章）：</w:t>
      </w:r>
      <w:r/>
    </w:p>
    <w:p>
      <w:pPr>
        <w:ind w:firstLine="36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2.享受政府采购支持政策的残疾人福利性单位应满足的条件以《关于促进残疾人就业政府采购政策的通知》（财库〔2017〕141号）的规定为准。</w:t>
      </w:r>
      <w:r/>
    </w:p>
    <w:p>
      <w:pP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3．投标人为“微型”或“小型”或“残疾人福利性单位”的，须算出“小型和微型和监狱企业和残疾人福利性单位” 总价合计”。</w:t>
      </w:r>
      <w:r/>
    </w:p>
    <w:p>
      <w:pPr>
        <w:ind w:firstLine="560"/>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注：1、投标人对以上数据的真实性负责。</w:t>
      </w:r>
      <w:r/>
    </w:p>
    <w:p>
      <w:pPr>
        <w:ind w:firstLine="562"/>
        <w:widowControl/>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采购人或采购代理机构有权将以上内容进行公示。</w:t>
      </w:r>
      <w:r/>
    </w:p>
    <w:p>
      <w:pPr>
        <w:ind w:firstLine="560"/>
        <w:jc w:val="cente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四、偏离表格式</w:t>
      </w:r>
      <w:r/>
    </w:p>
    <w:p>
      <w:pPr>
        <w:ind w:firstLine="600"/>
        <w:spacing w:line="479" w:lineRule="atLeast"/>
        <w:rPr>
          <w:rFonts w:ascii="仿宋" w:hAnsi="仿宋" w:eastAsia="仿宋" w:cs="仿宋"/>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highlight w:val="none"/>
        </w:rPr>
        <w:t xml:space="preserve"> </w:t>
      </w:r>
      <w:r/>
    </w:p>
    <w:p>
      <w:pPr>
        <w:spacing w:line="47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lang w:eastAsia="zh-CN"/>
        </w:rPr>
        <w:t xml:space="preserve">JSZC-320311-TTDL-G2026-0003</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项目名称：泉山区环卫市场化保洁项目</w:t>
      </w:r>
      <w:r/>
    </w:p>
    <w:tbl>
      <w:tblPr>
        <w:tblStyle w:val="1134"/>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r>
    </w:tbl>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注</w:t>
      </w:r>
      <w:r>
        <w:rPr>
          <w:rFonts w:hint="eastAsia" w:ascii="仿宋" w:hAnsi="仿宋" w:eastAsia="仿宋" w:cs="仿宋"/>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spacing w:line="71"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3900"/>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五、</w:t>
      </w:r>
      <w:r>
        <w:rPr>
          <w:rFonts w:hint="eastAsia" w:ascii="宋体" w:hAnsi="宋体" w:cs="宋体"/>
          <w:b/>
          <w:bCs/>
          <w:color w:val="auto"/>
          <w:sz w:val="28"/>
          <w:szCs w:val="28"/>
          <w:highlight w:val="none"/>
        </w:rPr>
        <w:t xml:space="preserve">法定代表人授权书及法定代表人身份证明书</w:t>
      </w:r>
      <w:r/>
    </w:p>
    <w:p>
      <w:pPr>
        <w:jc w:val="center"/>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（1）法定代表人授权书格式</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委托人：</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法定代表人（负责人）：               职务：</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统一社会信用代码：</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受托人：        性别：男（女）</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年龄：  岁      民族：  族</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职务：</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身份证号：</w:t>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兹委托（  ）全权代表我企业（公司）参与（</w:t>
      </w:r>
      <w:r>
        <w:rPr>
          <w:rFonts w:hint="eastAsia" w:ascii="仿宋" w:hAnsi="仿宋" w:eastAsia="仿宋" w:cs="仿宋"/>
          <w:color w:val="auto"/>
          <w:sz w:val="30"/>
          <w:highlight w:val="none"/>
          <w:u w:val="single"/>
        </w:rPr>
        <w:t xml:space="preserve">泉山区环卫市场化保洁项目</w:t>
      </w: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u w:val="single"/>
          <w:lang w:eastAsia="zh-CN"/>
        </w:rPr>
        <w:t xml:space="preserve">JSZC-320311-TTDL-G2026-0003</w:t>
      </w:r>
      <w:r>
        <w:rPr>
          <w:rFonts w:hint="eastAsia" w:ascii="仿宋" w:hAnsi="仿宋" w:eastAsia="仿宋" w:cs="仿宋"/>
          <w:color w:val="auto"/>
          <w:sz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特此授权委托。</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委托人（电子签章）：</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受托人（签字或盖章）：</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pStyle w:val="958"/>
        <w:ind w:left="0" w:firstLine="602"/>
        <w:rPr>
          <w:rFonts w:ascii="仿宋" w:hAnsi="仿宋" w:eastAsia="仿宋" w:cs="仿宋"/>
          <w:color w:val="auto"/>
          <w:highlight w:val="none"/>
        </w:rPr>
      </w:pPr>
      <w:r>
        <w:rPr>
          <w:rFonts w:hint="eastAsia" w:ascii="仿宋" w:hAnsi="仿宋" w:eastAsia="仿宋" w:cs="仿宋"/>
          <w:color w:val="auto"/>
          <w:sz w:val="30"/>
          <w:highlight w:val="none"/>
        </w:rPr>
        <w:t xml:space="preserve">受托人联系方式：             邮箱：</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法定代表人（负责人）（签字或盖章）： </w:t>
      </w:r>
      <w:r/>
    </w:p>
    <w:p>
      <w:pPr>
        <w:ind w:right="600" w:firstLine="51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日期：年  月  日</w:t>
      </w:r>
      <w:r/>
    </w:p>
    <w:p>
      <w:pPr>
        <w:ind w:right="600"/>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(受托人身份证原件扫描件附后)</w:t>
      </w:r>
      <w:r/>
    </w:p>
    <w:p>
      <w:pPr>
        <w:ind w:right="600"/>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0"/>
          <w:highlight w:val="none"/>
        </w:rPr>
      </w:r>
      <w:r/>
    </w:p>
    <w:p>
      <w:pPr>
        <w:jc w:val="cente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（2）法定代表人身份证明书</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pStyle w:val="1136"/>
        <w:rPr>
          <w:color w:val="auto"/>
          <w:highlight w:val="none"/>
        </w:rPr>
      </w:pPr>
      <w:r>
        <w:rPr>
          <w:color w:val="auto"/>
          <w:highlight w:val="none"/>
        </w:rPr>
      </w:r>
      <w:r/>
    </w:p>
    <w:p>
      <w:pPr>
        <w:ind w:firstLine="480"/>
        <w:spacing w:line="500" w:lineRule="exact"/>
        <w:tabs>
          <w:tab w:val="left" w:pos="720" w:leader="none"/>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单位名称：</w:t>
      </w:r>
      <w:r/>
    </w:p>
    <w:p>
      <w:pPr>
        <w:ind w:firstLine="480"/>
        <w:spacing w:line="500" w:lineRule="exact"/>
        <w:tabs>
          <w:tab w:val="left" w:pos="720" w:leader="none"/>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p>
    <w:p>
      <w:pPr>
        <w:ind w:firstLine="480"/>
        <w:spacing w:line="500" w:lineRule="exact"/>
        <w:tabs>
          <w:tab w:val="left" w:pos="720" w:leader="none"/>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            性别：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身份证号：        职务：          </w:t>
      </w:r>
      <w:r>
        <w:rPr>
          <w:rFonts w:hint="eastAsia" w:ascii="仿宋" w:hAnsi="仿宋" w:eastAsia="仿宋" w:cs="仿宋"/>
          <w:bCs/>
          <w:color w:val="auto"/>
          <w:sz w:val="28"/>
          <w:szCs w:val="28"/>
          <w:highlight w:val="none"/>
        </w:rPr>
        <w:t xml:space="preserve">联系方式（手机号）：</w:t>
      </w:r>
      <w:r/>
    </w:p>
    <w:p>
      <w:pPr>
        <w:ind w:firstLine="1024"/>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1024"/>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系我司的法定代表人。为签署（项目编号：       ，项目名称：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）项目投标文件、进行合同谈判、签署合同和处理与之有关的一切事务。</w:t>
      </w:r>
      <w:r/>
    </w:p>
    <w:p>
      <w:pPr>
        <w:spacing w:line="500" w:lineRule="exact"/>
        <w:tabs>
          <w:tab w:val="left" w:pos="720" w:leader="none"/>
          <w:tab w:val="left" w:pos="900" w:leader="none"/>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500" w:lineRule="exact"/>
        <w:tabs>
          <w:tab w:val="left" w:pos="720" w:leader="none"/>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特此证明。</w:t>
      </w:r>
      <w:r/>
    </w:p>
    <w:p>
      <w:pPr>
        <w:ind w:firstLine="480"/>
        <w:spacing w:line="500" w:lineRule="exact"/>
        <w:tabs>
          <w:tab w:val="left" w:pos="720" w:leader="none"/>
          <w:tab w:val="left" w:pos="900" w:leader="none"/>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right"/>
        <w:spacing w:line="360" w:lineRule="auto"/>
        <w:tabs>
          <w:tab w:val="left" w:pos="720" w:leader="none"/>
          <w:tab w:val="left" w:pos="900" w:leader="none"/>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974"/>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32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（盖电子签章）</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（签字或电子签章）  </w:t>
      </w:r>
      <w:r/>
    </w:p>
    <w:p>
      <w:pPr>
        <w:ind w:firstLine="33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（法定代表人身份证原件扫描件附后）</w:t>
      </w:r>
      <w:r/>
    </w:p>
    <w:p>
      <w:pPr>
        <w:ind w:right="600"/>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0"/>
          <w:highlight w:val="none"/>
        </w:rPr>
      </w:r>
      <w:r/>
    </w:p>
    <w:p>
      <w:pPr>
        <w:ind w:left="880"/>
        <w:spacing w:line="480" w:lineRule="exact"/>
        <w:rPr>
          <w:rFonts w:ascii="仿宋" w:hAnsi="仿宋" w:eastAsia="仿宋" w:cs="仿宋"/>
          <w:b/>
          <w:bCs/>
          <w:color w:val="auto"/>
          <w:sz w:val="36"/>
          <w:szCs w:val="36"/>
          <w:highlight w:val="none"/>
          <w:lang w:bidi="zh-CN"/>
        </w:rPr>
      </w:pPr>
      <w:r>
        <w:rPr>
          <w:rFonts w:ascii="仿宋" w:hAnsi="仿宋" w:eastAsia="仿宋" w:cs="仿宋"/>
          <w:b/>
          <w:bCs/>
          <w:color w:val="auto"/>
          <w:sz w:val="36"/>
          <w:szCs w:val="36"/>
          <w:highlight w:val="none"/>
          <w:lang w:bidi="zh-CN"/>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六、具备履行合同所必需的设备和专业技术能力的</w:t>
      </w:r>
      <w:r/>
    </w:p>
    <w:p>
      <w:pPr>
        <w:jc w:val="center"/>
        <w:spacing w:line="479" w:lineRule="atLeast"/>
        <w:rPr>
          <w:rFonts w:ascii="仿宋" w:hAnsi="仿宋" w:eastAsia="仿宋" w:cs="仿宋"/>
          <w:b/>
          <w:bCs/>
          <w:color w:val="auto"/>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书面声明</w:t>
      </w:r>
      <w:r/>
    </w:p>
    <w:p>
      <w:pPr>
        <w:ind w:firstLine="600"/>
        <w:spacing w:line="479"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 泉山区环卫市场化保洁项目 </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 </w:t>
      </w:r>
      <w:r>
        <w:rPr>
          <w:rFonts w:hint="eastAsia" w:ascii="仿宋" w:hAnsi="仿宋" w:eastAsia="仿宋" w:cs="仿宋"/>
          <w:color w:val="auto"/>
          <w:sz w:val="30"/>
          <w:highlight w:val="none"/>
          <w:lang w:eastAsia="zh-CN"/>
        </w:rPr>
        <w:t xml:space="preserve">JSZC-320311-TTDL-G2026-0003</w:t>
      </w:r>
      <w:r>
        <w:rPr>
          <w:rFonts w:hint="eastAsia" w:ascii="仿宋" w:hAnsi="仿宋" w:eastAsia="仿宋" w:cs="仿宋"/>
          <w:color w:val="auto"/>
          <w:sz w:val="30"/>
          <w:highlight w:val="none"/>
        </w:rPr>
        <w:t xml:space="preserve"> </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投标人郑重声明：投标人具备履行合同（项目名称：</w:t>
      </w:r>
      <w:r>
        <w:rPr>
          <w:rFonts w:hint="eastAsia" w:ascii="仿宋" w:hAnsi="仿宋" w:eastAsia="仿宋" w:cs="仿宋"/>
          <w:color w:val="auto"/>
          <w:sz w:val="30"/>
          <w:highlight w:val="none"/>
        </w:rPr>
        <w:t xml:space="preserve">泉山区环卫市场化保洁项目</w:t>
      </w: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highlight w:val="none"/>
          <w:lang w:eastAsia="zh-CN"/>
        </w:rPr>
        <w:t xml:space="preserve">JSZC-320311-TTDL-G2026-0003</w:t>
      </w:r>
      <w:r>
        <w:rPr>
          <w:rFonts w:hint="eastAsia" w:ascii="仿宋" w:hAnsi="仿宋" w:eastAsia="仿宋" w:cs="仿宋"/>
          <w:color w:val="auto"/>
          <w:sz w:val="30"/>
          <w:szCs w:val="30"/>
          <w:highlight w:val="none"/>
        </w:rPr>
        <w:t xml:space="preserve">）所必需的设备和专业技术能力，具体为：</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设备：</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p>
    <w:p>
      <w:pPr>
        <w:ind w:firstLine="600"/>
        <w:spacing w:line="480" w:lineRule="exact"/>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专业技术能力：</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特此声明。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投标人对上述声明的真实性负责。如有虚假，将依法承担相应责任。</w:t>
      </w:r>
      <w:r/>
    </w:p>
    <w:p>
      <w:pPr>
        <w:ind w:firstLine="600"/>
        <w:spacing w:line="480" w:lineRule="exact"/>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600"/>
        <w:jc w:val="right"/>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（电子签章） </w:t>
      </w:r>
      <w:r/>
    </w:p>
    <w:p>
      <w:pPr>
        <w:ind w:firstLine="2700"/>
        <w:spacing w:line="480" w:lineRule="exact"/>
        <w:rPr>
          <w:rFonts w:ascii="仿宋" w:hAnsi="仿宋" w:eastAsia="仿宋" w:cs="仿宋"/>
          <w:color w:val="auto"/>
          <w:sz w:val="28"/>
          <w:szCs w:val="28"/>
          <w:highlight w:val="none"/>
        </w:rPr>
      </w:pPr>
      <w:r>
        <w:rPr>
          <w:rFonts w:hint="eastAsia" w:ascii="仿宋" w:hAnsi="仿宋" w:eastAsia="仿宋" w:cs="仿宋"/>
          <w:color w:val="auto"/>
          <w:sz w:val="30"/>
          <w:szCs w:val="30"/>
          <w:highlight w:val="none"/>
        </w:rPr>
        <w:t xml:space="preserve">日期：   年  月  日</w:t>
      </w:r>
      <w:r/>
    </w:p>
    <w:p>
      <w:pPr>
        <w:rPr>
          <w:rFonts w:ascii="仿宋" w:hAnsi="仿宋" w:eastAsia="仿宋" w:cs="仿宋"/>
          <w:b/>
          <w:bCs/>
          <w:color w:val="auto"/>
          <w:sz w:val="30"/>
          <w:highlight w:val="none"/>
        </w:rPr>
      </w:pPr>
      <w:r>
        <w:rPr>
          <w:rFonts w:hint="eastAsia" w:ascii="仿宋" w:hAnsi="仿宋" w:eastAsia="仿宋" w:cs="仿宋"/>
          <w:b/>
          <w:bCs/>
          <w:color w:val="auto"/>
          <w:sz w:val="30"/>
          <w:highlight w:val="none"/>
        </w:rPr>
        <w:br w:type="page" w:clear="all"/>
      </w:r>
      <w:r/>
    </w:p>
    <w:p>
      <w:pPr>
        <w:jc w:val="center"/>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七、投标人相关承诺</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 泉山区环卫市场化保洁项目 </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 </w:t>
      </w:r>
      <w:r>
        <w:rPr>
          <w:rFonts w:hint="eastAsia" w:ascii="仿宋" w:hAnsi="仿宋" w:eastAsia="仿宋" w:cs="仿宋"/>
          <w:color w:val="auto"/>
          <w:sz w:val="30"/>
          <w:highlight w:val="none"/>
          <w:lang w:eastAsia="zh-CN"/>
        </w:rPr>
        <w:t xml:space="preserve">JSZC-320311-TTDL-G2026-0003</w:t>
      </w:r>
      <w:r>
        <w:rPr>
          <w:rFonts w:hint="eastAsia" w:ascii="仿宋" w:hAnsi="仿宋" w:eastAsia="仿宋" w:cs="仿宋"/>
          <w:color w:val="auto"/>
          <w:sz w:val="30"/>
          <w:highlight w:val="none"/>
        </w:rPr>
        <w:t xml:space="preserve"> </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我单位承诺：</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我单位对上述承诺负责，并依法承担相应责任。</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 </w:t>
      </w:r>
      <w:r/>
    </w:p>
    <w:p>
      <w:pPr>
        <w:ind w:firstLine="600"/>
        <w:rPr>
          <w:rFonts w:ascii="仿宋" w:hAnsi="仿宋" w:eastAsia="仿宋" w:cs="仿宋"/>
          <w:color w:val="auto"/>
          <w:sz w:val="30"/>
          <w:highlight w:val="none"/>
        </w:rPr>
      </w:pPr>
      <w:r>
        <w:rPr>
          <w:rFonts w:ascii="仿宋" w:hAnsi="仿宋" w:eastAsia="仿宋" w:cs="仿宋"/>
          <w:color w:val="auto"/>
          <w:sz w:val="30"/>
          <w:highlight w:val="none"/>
        </w:rPr>
      </w:r>
      <w:r/>
    </w:p>
    <w:p>
      <w:pPr>
        <w:ind w:firstLine="600"/>
        <w:rPr>
          <w:rFonts w:ascii="仿宋" w:hAnsi="仿宋" w:eastAsia="仿宋" w:cs="仿宋"/>
          <w:color w:val="auto"/>
          <w:sz w:val="30"/>
          <w:highlight w:val="none"/>
        </w:rPr>
      </w:pPr>
      <w:r>
        <w:rPr>
          <w:rFonts w:hint="eastAsia" w:ascii="仿宋" w:hAnsi="仿宋" w:eastAsia="仿宋" w:cs="仿宋"/>
          <w:color w:val="auto"/>
          <w:sz w:val="30"/>
          <w:highlight w:val="none"/>
        </w:rPr>
        <w:t xml:space="preserve">日期：   年  月  日</w:t>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rPr>
          <w:rFonts w:ascii="仿宋" w:hAnsi="仿宋" w:eastAsia="仿宋" w:cs="仿宋"/>
          <w:b/>
          <w:bCs/>
          <w:color w:val="auto"/>
          <w:sz w:val="30"/>
          <w:highlight w:val="none"/>
        </w:rPr>
      </w:pPr>
      <w:r>
        <w:rPr>
          <w:rFonts w:hint="eastAsia" w:ascii="仿宋" w:hAnsi="仿宋" w:eastAsia="仿宋" w:cs="仿宋"/>
          <w:b/>
          <w:bCs/>
          <w:color w:val="auto"/>
          <w:sz w:val="30"/>
          <w:highlight w:val="none"/>
        </w:rPr>
        <w:br w:type="page" w:clear="all"/>
      </w:r>
      <w:r/>
    </w:p>
    <w:p>
      <w:pPr>
        <w:jc w:val="center"/>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八、投标人书面声明</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 泉山区环卫市场化保洁项目 </w:t>
      </w:r>
      <w:r/>
    </w:p>
    <w:p>
      <w:pPr>
        <w:ind w:firstLine="600"/>
        <w:spacing w:line="47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 </w:t>
      </w:r>
      <w:r>
        <w:rPr>
          <w:rFonts w:hint="eastAsia" w:ascii="仿宋" w:hAnsi="仿宋" w:eastAsia="仿宋" w:cs="仿宋"/>
          <w:color w:val="auto"/>
          <w:sz w:val="30"/>
          <w:highlight w:val="none"/>
          <w:lang w:eastAsia="zh-CN"/>
        </w:rPr>
        <w:t xml:space="preserve">JSZC-320311-TTDL-G2026-0003</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我单位不是为本采购项目提供整体设计、规范编制或者项目管理、监理、检测等服务的供应商。</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特此声明。</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我单位对上述声明的真实性负责。如有虚假，将依法承担相应责任。</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 </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562"/>
        <w:jc w:val="center"/>
        <w:spacing w:line="48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rPr>
          <w:rFonts w:ascii="仿宋" w:hAnsi="仿宋" w:eastAsia="仿宋" w:cs="仿宋"/>
          <w:b/>
          <w:bCs/>
          <w:color w:val="auto"/>
          <w:sz w:val="30"/>
          <w:highlight w:val="none"/>
        </w:rPr>
      </w:pPr>
      <w:r>
        <w:rPr>
          <w:rFonts w:hint="eastAsia" w:ascii="仿宋" w:hAnsi="仿宋" w:eastAsia="仿宋" w:cs="仿宋"/>
          <w:b/>
          <w:bCs/>
          <w:color w:val="auto"/>
          <w:sz w:val="30"/>
          <w:highlight w:val="none"/>
        </w:rPr>
        <w:br w:type="page" w:clear="all"/>
      </w:r>
      <w:r/>
    </w:p>
    <w:p>
      <w:pPr>
        <w:jc w:val="center"/>
        <w:spacing w:before="100" w:after="100"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九、中小企业声明函格式</w:t>
      </w:r>
      <w:r/>
    </w:p>
    <w:p>
      <w:pPr>
        <w:ind w:firstLine="560"/>
        <w:spacing w:before="100" w:after="100" w:line="450"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spacing w:before="100" w:after="10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JSZC-320311-TTDL-G2026-0003</w:t>
      </w:r>
      <w:r/>
    </w:p>
    <w:p>
      <w:pPr>
        <w:spacing w:before="100" w:after="10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项目名称：泉山区环卫市场化保洁项目</w:t>
      </w:r>
      <w:r/>
    </w:p>
    <w:p>
      <w:pPr>
        <w:ind w:firstLine="480"/>
        <w:spacing w:line="38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本公司郑重声明，根据《政府采购促进中小企业发展管理办法》（财库[2020]46号）的规定，本公司参加（</w:t>
      </w:r>
      <w:r>
        <w:rPr>
          <w:rFonts w:hint="eastAsia" w:ascii="仿宋" w:hAnsi="仿宋" w:eastAsia="仿宋" w:cs="宋体"/>
          <w:color w:val="auto"/>
          <w:sz w:val="28"/>
          <w:szCs w:val="28"/>
          <w:highlight w:val="none"/>
          <w:u w:val="single"/>
        </w:rPr>
        <w:t xml:space="preserve">徐州市泉山区城市管理局</w:t>
      </w:r>
      <w:r>
        <w:rPr>
          <w:rFonts w:hint="eastAsia" w:ascii="仿宋" w:hAnsi="仿宋" w:eastAsia="仿宋" w:cs="宋体"/>
          <w:color w:val="auto"/>
          <w:sz w:val="28"/>
          <w:szCs w:val="28"/>
          <w:highlight w:val="none"/>
        </w:rPr>
        <w:t xml:space="preserve">）的（</w:t>
      </w:r>
      <w:r>
        <w:rPr>
          <w:rFonts w:hint="eastAsia" w:ascii="仿宋" w:hAnsi="仿宋" w:eastAsia="仿宋" w:cs="宋体"/>
          <w:color w:val="auto"/>
          <w:sz w:val="28"/>
          <w:szCs w:val="28"/>
          <w:highlight w:val="none"/>
          <w:u w:val="single"/>
        </w:rPr>
        <w:t xml:space="preserve">泉山区环卫市场化保洁项目</w:t>
      </w:r>
      <w:r>
        <w:rPr>
          <w:rFonts w:hint="eastAsia" w:ascii="仿宋" w:hAnsi="仿宋" w:eastAsia="仿宋" w:cs="宋体"/>
          <w:color w:val="auto"/>
          <w:sz w:val="28"/>
          <w:szCs w:val="28"/>
          <w:highlight w:val="none"/>
        </w:rPr>
        <w:t xml:space="preserve">）采购活动，服务全部由符合政策要求的中小企业承接。相关企业的具体情况如下：</w:t>
      </w:r>
      <w:r/>
    </w:p>
    <w:p>
      <w:pPr>
        <w:pStyle w:val="932"/>
        <w:ind w:left="0" w:firstLine="48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u w:val="single"/>
        </w:rPr>
        <w:t xml:space="preserve">泉山区环卫市场化保洁项目</w:t>
      </w:r>
      <w:r>
        <w:rPr>
          <w:rFonts w:hint="eastAsia" w:ascii="仿宋" w:hAnsi="仿宋" w:eastAsia="仿宋" w:cs="宋体"/>
          <w:color w:val="auto"/>
          <w:sz w:val="28"/>
          <w:szCs w:val="28"/>
          <w:highlight w:val="none"/>
        </w:rPr>
        <w:t xml:space="preserve">）属于（</w:t>
      </w:r>
      <w:r>
        <w:rPr>
          <w:rFonts w:hint="eastAsia" w:ascii="仿宋" w:hAnsi="仿宋" w:eastAsia="仿宋" w:cs="仿宋"/>
          <w:color w:val="auto"/>
          <w:sz w:val="28"/>
          <w:szCs w:val="28"/>
          <w:highlight w:val="none"/>
          <w:u w:val="single"/>
        </w:rPr>
        <w:t xml:space="preserve">其他未列明行业</w:t>
      </w:r>
      <w:r>
        <w:rPr>
          <w:rFonts w:hint="eastAsia" w:ascii="仿宋" w:hAnsi="仿宋" w:eastAsia="仿宋" w:cs="宋体"/>
          <w:color w:val="auto"/>
          <w:sz w:val="28"/>
          <w:szCs w:val="28"/>
          <w:highlight w:val="none"/>
        </w:rPr>
        <w:t xml:space="preserve">）；承接企业为（       ），从业人员（     ）人，营业收入为（   万元），资产总额为（      万元），属于</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rPr>
        <w:t xml:space="preserve">（</w:t>
      </w:r>
      <w:r>
        <w:rPr>
          <w:rFonts w:ascii="Wingdings 2" w:hAnsi="Wingdings 2" w:eastAsia="Wingdings 2" w:cs="Wingdings 2"/>
          <w:color w:val="auto"/>
          <w:sz w:val="28"/>
          <w:szCs w:val="28"/>
          <w:highlight w:val="none"/>
        </w:rPr>
        <w:t xml:space="preserve">£</w:t>
      </w:r>
      <w:r>
        <w:rPr>
          <w:rFonts w:hint="eastAsia" w:ascii="仿宋" w:hAnsi="仿宋" w:eastAsia="仿宋" w:cs="宋体"/>
          <w:color w:val="auto"/>
          <w:sz w:val="28"/>
          <w:szCs w:val="28"/>
          <w:highlight w:val="none"/>
        </w:rPr>
        <w:t xml:space="preserve">中型企业、</w:t>
      </w:r>
      <w:r>
        <w:rPr>
          <w:rFonts w:ascii="Wingdings 2" w:hAnsi="Wingdings 2" w:eastAsia="Wingdings 2" w:cs="Wingdings 2"/>
          <w:color w:val="auto"/>
          <w:sz w:val="28"/>
          <w:szCs w:val="28"/>
          <w:highlight w:val="none"/>
        </w:rPr>
        <w:t xml:space="preserve">£</w:t>
      </w:r>
      <w:r>
        <w:rPr>
          <w:rFonts w:hint="eastAsia" w:ascii="仿宋" w:hAnsi="仿宋" w:eastAsia="仿宋" w:cs="宋体"/>
          <w:color w:val="auto"/>
          <w:sz w:val="28"/>
          <w:szCs w:val="28"/>
          <w:highlight w:val="none"/>
        </w:rPr>
        <w:t xml:space="preserve">小型企业、</w:t>
      </w:r>
      <w:r>
        <w:rPr>
          <w:rFonts w:ascii="Wingdings 2" w:hAnsi="Wingdings 2" w:eastAsia="Wingdings 2" w:cs="Wingdings 2"/>
          <w:color w:val="auto"/>
          <w:sz w:val="28"/>
          <w:szCs w:val="28"/>
          <w:highlight w:val="none"/>
        </w:rPr>
        <w:t xml:space="preserve">£</w:t>
      </w:r>
      <w:r>
        <w:rPr>
          <w:rFonts w:hint="eastAsia" w:ascii="仿宋" w:hAnsi="仿宋" w:eastAsia="仿宋" w:cs="宋体"/>
          <w:color w:val="auto"/>
          <w:sz w:val="28"/>
          <w:szCs w:val="28"/>
          <w:highlight w:val="none"/>
        </w:rPr>
        <w:t xml:space="preserve">微型企业）；</w:t>
      </w:r>
      <w:r/>
    </w:p>
    <w:p>
      <w:pPr>
        <w:pStyle w:val="932"/>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以上企业，不属于大企业的分支机构，不存在控股股东为大企业</w:t>
      </w:r>
      <w:r/>
    </w:p>
    <w:p>
      <w:pPr>
        <w:pStyle w:val="932"/>
        <w:ind w:left="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的情形，也不存在与大企业的负责人为同一人的情形。</w:t>
      </w:r>
      <w:r/>
    </w:p>
    <w:p>
      <w:pPr>
        <w:pStyle w:val="932"/>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本企业对上述声明内容的真实性负责。如有虚假，将依法承担相</w:t>
      </w:r>
      <w:r/>
    </w:p>
    <w:p>
      <w:pPr>
        <w:pStyle w:val="932"/>
        <w:ind w:left="0"/>
        <w:rPr>
          <w:rFonts w:ascii="仿宋" w:hAnsi="仿宋" w:eastAsia="仿宋" w:cs="仿宋"/>
          <w:color w:val="auto"/>
          <w:sz w:val="24"/>
          <w:highlight w:val="none"/>
        </w:rPr>
      </w:pPr>
      <w:r>
        <w:rPr>
          <w:rFonts w:hint="eastAsia" w:ascii="仿宋" w:hAnsi="仿宋" w:eastAsia="仿宋" w:cs="宋体"/>
          <w:color w:val="auto"/>
          <w:sz w:val="28"/>
          <w:szCs w:val="28"/>
          <w:highlight w:val="none"/>
        </w:rPr>
        <w:t xml:space="preserve">应责任。</w:t>
      </w:r>
      <w:r/>
    </w:p>
    <w:p>
      <w:pPr>
        <w:ind w:firstLine="1752"/>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 （电子签章） </w:t>
      </w:r>
      <w:r/>
    </w:p>
    <w:p>
      <w:pPr>
        <w:ind w:firstLine="2952"/>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pStyle w:val="1140"/>
        <w:ind w:left="0"/>
        <w:jc w:val="left"/>
        <w:spacing w:after="0"/>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140"/>
        <w:ind w:left="0"/>
        <w:jc w:val="left"/>
        <w:spacing w:after="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说明：</w:t>
      </w:r>
      <w:r/>
    </w:p>
    <w:p>
      <w:pPr>
        <w:pStyle w:val="1140"/>
        <w:ind w:left="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1、从业人员、营业收入、资产总额填报供应商上一年度数据，无上一年度数据的新成立企业可不填报。</w:t>
      </w:r>
      <w:r/>
    </w:p>
    <w:p>
      <w:pPr>
        <w:pStyle w:val="1140"/>
        <w:ind w:left="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2、供应商提供的《中小企业声明函》与事实不符的，依照《政府采购法》第七十七条第一款的规定追究法律责任。</w:t>
      </w:r>
      <w:r/>
    </w:p>
    <w:p>
      <w:pPr>
        <w:pStyle w:val="1140"/>
        <w:ind w:left="0"/>
        <w:spacing w:after="0"/>
        <w:rPr>
          <w:rFonts w:ascii="仿宋" w:hAnsi="仿宋" w:eastAsia="仿宋" w:cs="仿宋"/>
          <w:b/>
          <w:bCs/>
          <w:color w:val="auto"/>
          <w:sz w:val="28"/>
          <w:szCs w:val="28"/>
          <w:highlight w:val="none"/>
        </w:rPr>
      </w:pPr>
      <w:r>
        <w:rPr>
          <w:rFonts w:hint="eastAsia" w:ascii="仿宋" w:hAnsi="仿宋" w:eastAsia="仿宋" w:cs="仿宋"/>
          <w:color w:val="auto"/>
          <w:sz w:val="24"/>
          <w:highlight w:val="none"/>
        </w:rPr>
        <w:t xml:space="preserve">3、“中小企业声明函”查询渠道用微信搜索“中小企业规模类型自测小程序”。</w:t>
      </w:r>
      <w:r/>
    </w:p>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rPr>
          <w:rFonts w:hint="eastAsia" w:ascii="仿宋" w:hAnsi="仿宋" w:eastAsia="仿宋" w:cs="仿宋"/>
          <w:b/>
          <w:bCs/>
          <w:color w:val="auto"/>
          <w:sz w:val="32"/>
          <w:szCs w:val="32"/>
          <w:highlight w:val="none"/>
        </w:rPr>
        <w:t xml:space="preserve">十、残疾人福利性单位声明函格式</w:t>
      </w:r>
      <w:r/>
    </w:p>
    <w:p>
      <w:pPr>
        <w:jc w:val="cente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（如投标人不属于残疾人福利性单位不需要提供此声明函）</w:t>
      </w:r>
      <w:r/>
    </w:p>
    <w:p>
      <w:pPr>
        <w:ind w:firstLine="624"/>
        <w:spacing w:line="479" w:lineRule="atLeast"/>
        <w:rPr>
          <w:rFonts w:ascii="仿宋" w:hAnsi="仿宋" w:eastAsia="仿宋" w:cs="仿宋"/>
          <w:color w:val="auto"/>
          <w:spacing w:val="6"/>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highlight w:val="none"/>
        </w:rPr>
      </w:r>
      <w:r/>
    </w:p>
    <w:p>
      <w:pPr>
        <w:spacing w:line="360" w:lineRule="auto"/>
        <w:rPr>
          <w:rFonts w:hint="eastAsia" w:ascii="仿宋" w:hAnsi="仿宋" w:eastAsia="仿宋" w:cs="仿宋"/>
          <w:color w:val="auto"/>
          <w:spacing w:val="6"/>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项目编号：</w:t>
      </w:r>
      <w:r>
        <w:rPr>
          <w:rFonts w:hint="eastAsia" w:ascii="仿宋" w:hAnsi="仿宋" w:eastAsia="仿宋" w:cs="仿宋"/>
          <w:color w:val="auto"/>
          <w:spacing w:val="6"/>
          <w:sz w:val="30"/>
          <w:highlight w:val="none"/>
          <w:lang w:eastAsia="zh-CN"/>
        </w:rPr>
        <w:t xml:space="preserve">JSZC-320311-TTDL-G2026-0003</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项目名称：泉山区环卫市场化保洁项目</w:t>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30"/>
          <w:highlight w:val="none"/>
        </w:rPr>
        <w:t xml:space="preserve">〔2017〕 141</w:t>
      </w:r>
      <w:r>
        <w:rPr>
          <w:rFonts w:hint="eastAsia" w:ascii="仿宋" w:hAnsi="仿宋" w:eastAsia="仿宋" w:cs="仿宋"/>
          <w:color w:val="auto"/>
          <w:spacing w:val="6"/>
          <w:sz w:val="30"/>
          <w:highlight w:val="none"/>
        </w:rPr>
        <w:t xml:space="preserve">号）的规定，本单位为符合条件的残疾人福利性单位，且本单位参加</w:t>
      </w:r>
      <w:r>
        <w:rPr>
          <w:rFonts w:hint="eastAsia" w:ascii="仿宋" w:hAnsi="仿宋" w:eastAsia="仿宋" w:cs="仿宋"/>
          <w:color w:val="auto"/>
          <w:sz w:val="30"/>
          <w:highlight w:val="none"/>
        </w:rPr>
        <w:t xml:space="preserve">______</w:t>
      </w:r>
      <w:r>
        <w:rPr>
          <w:rFonts w:hint="eastAsia" w:ascii="仿宋" w:hAnsi="仿宋" w:eastAsia="仿宋" w:cs="仿宋"/>
          <w:color w:val="auto"/>
          <w:spacing w:val="6"/>
          <w:sz w:val="30"/>
          <w:highlight w:val="none"/>
        </w:rPr>
        <w:t xml:space="preserve">单位的</w:t>
      </w:r>
      <w:r>
        <w:rPr>
          <w:rFonts w:hint="eastAsia" w:ascii="仿宋" w:hAnsi="仿宋" w:eastAsia="仿宋" w:cs="仿宋"/>
          <w:color w:val="auto"/>
          <w:sz w:val="30"/>
          <w:highlight w:val="none"/>
        </w:rPr>
        <w:t xml:space="preserve">______</w:t>
      </w:r>
      <w:r>
        <w:rPr>
          <w:rFonts w:hint="eastAsia" w:ascii="仿宋" w:hAnsi="仿宋" w:eastAsia="仿宋" w:cs="仿宋"/>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本单位对上述声明的真实性负责。如有虚假，将依法承担相应责任。</w:t>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 </w:t>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 </w:t>
      </w:r>
      <w:r/>
    </w:p>
    <w:p>
      <w:pPr>
        <w:ind w:firstLine="255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45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24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45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pStyle w:val="914"/>
        <w:rPr>
          <w:rFonts w:ascii="仿宋" w:hAnsi="仿宋" w:eastAsia="仿宋" w:cs="仿宋"/>
          <w:color w:val="auto"/>
          <w:sz w:val="30"/>
          <w:highlight w:val="none"/>
        </w:rPr>
      </w:pPr>
      <w:r>
        <w:rPr>
          <w:rFonts w:ascii="仿宋" w:hAnsi="仿宋" w:eastAsia="仿宋" w:cs="仿宋"/>
          <w:color w:val="auto"/>
          <w:sz w:val="30"/>
          <w:highlight w:val="none"/>
        </w:rPr>
      </w:r>
      <w:r/>
    </w:p>
    <w:p>
      <w:pPr>
        <w:pStyle w:val="925"/>
        <w:rPr>
          <w:rFonts w:ascii="仿宋" w:hAnsi="仿宋" w:eastAsia="仿宋" w:cs="仿宋"/>
          <w:color w:val="auto"/>
          <w:sz w:val="30"/>
          <w:highlight w:val="none"/>
        </w:rPr>
      </w:pPr>
      <w:r>
        <w:rPr>
          <w:rFonts w:ascii="仿宋" w:hAnsi="仿宋" w:eastAsia="仿宋" w:cs="仿宋"/>
          <w:color w:val="auto"/>
          <w:sz w:val="30"/>
          <w:highlight w:val="none"/>
        </w:rPr>
      </w:r>
      <w:r/>
    </w:p>
    <w:p>
      <w:pPr>
        <w:rPr>
          <w:rFonts w:ascii="仿宋" w:hAnsi="仿宋" w:eastAsia="仿宋" w:cs="仿宋"/>
          <w:color w:val="auto"/>
          <w:sz w:val="30"/>
          <w:highlight w:val="none"/>
        </w:rPr>
      </w:pPr>
      <w:r>
        <w:rPr>
          <w:rFonts w:ascii="仿宋" w:hAnsi="仿宋" w:eastAsia="仿宋" w:cs="仿宋"/>
          <w:color w:val="auto"/>
          <w:sz w:val="30"/>
          <w:highlight w:val="none"/>
        </w:rPr>
      </w:r>
      <w:r/>
    </w:p>
    <w:p>
      <w:pPr>
        <w:jc w:val="center"/>
        <w:spacing w:line="360" w:lineRule="auto"/>
        <w:rPr>
          <w:rFonts w:ascii="仿宋" w:hAnsi="仿宋" w:eastAsia="仿宋" w:cs="仿宋"/>
          <w:color w:val="auto"/>
          <w:sz w:val="30"/>
          <w:highlight w:val="none"/>
        </w:rPr>
        <w:outlineLvl w:val="1"/>
      </w:pPr>
      <w:r>
        <w:rPr>
          <w:rFonts w:ascii="仿宋" w:hAnsi="仿宋" w:eastAsia="仿宋" w:cs="仿宋"/>
          <w:color w:val="auto"/>
          <w:sz w:val="30"/>
          <w:highlight w:val="none"/>
        </w:rPr>
      </w:r>
      <w:r/>
    </w:p>
    <w:p>
      <w:pPr>
        <w:pStyle w:val="1129"/>
        <w:ind w:firstLine="480"/>
        <w:spacing w:before="0" w:beforeAutospacing="0" w:after="0" w:afterAutospacing="0" w:line="360" w:lineRule="auto"/>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32"/>
          <w:szCs w:val="32"/>
          <w:highlight w:val="none"/>
        </w:rPr>
        <w:t xml:space="preserve">十一、投标人参加政府采购活动前3年内在经营活动中没有重大违法记录的书面声明格式</w:t>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我单位在参加</w:t>
      </w:r>
      <w:r>
        <w:rPr>
          <w:rFonts w:hint="eastAsia" w:ascii="仿宋" w:hAnsi="仿宋" w:eastAsia="仿宋" w:cs="仿宋"/>
          <w:color w:val="auto"/>
          <w:sz w:val="30"/>
          <w:highlight w:val="none"/>
          <w:u w:val="single"/>
        </w:rPr>
        <w:t xml:space="preserve">泉山区环卫市场化保洁项目</w:t>
      </w: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u w:val="single"/>
          <w:lang w:eastAsia="zh-CN"/>
        </w:rPr>
        <w:t xml:space="preserve">JSZC-320311-TTDL-G2026-0003</w:t>
      </w:r>
      <w:r>
        <w:rPr>
          <w:rFonts w:hint="eastAsia" w:ascii="仿宋" w:hAnsi="仿宋" w:eastAsia="仿宋" w:cs="仿宋"/>
          <w:color w:val="auto"/>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我单位对上述声明的真实性负责。如有虚假，将依法承担相应责任。</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285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45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27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firstLine="600"/>
        <w:jc w:val="center"/>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color w:val="auto"/>
          <w:sz w:val="30"/>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十二、投标人对“作业人员配备要求”的承诺</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徐州市泉山区城市管理局：</w:t>
      </w:r>
      <w:r/>
    </w:p>
    <w:p>
      <w:pPr>
        <w:ind w:firstLine="60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投标人承诺：如我单位被确定为中标人，对</w:t>
      </w:r>
      <w:r>
        <w:rPr>
          <w:rFonts w:hint="eastAsia" w:ascii="仿宋" w:hAnsi="仿宋" w:eastAsia="仿宋" w:cs="仿宋"/>
          <w:color w:val="auto"/>
          <w:sz w:val="24"/>
          <w:highlight w:val="none"/>
          <w:u w:val="single"/>
        </w:rPr>
        <w:t xml:space="preserve">泉山区环卫市场化保洁项目</w:t>
      </w:r>
      <w:r>
        <w:rPr>
          <w:rFonts w:hint="eastAsia" w:ascii="仿宋" w:hAnsi="仿宋" w:eastAsia="仿宋" w:cs="仿宋"/>
          <w:color w:val="auto"/>
          <w:sz w:val="24"/>
          <w:highlight w:val="none"/>
        </w:rPr>
        <w:t xml:space="preserve">所配备的工作人员不低于招标文件“采购需求”中的要求。具体如下：</w:t>
      </w:r>
      <w:r/>
    </w:p>
    <w:p>
      <w:pPr>
        <w:ind w:firstLine="60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保洁人员实行定人、定时、定岗、定责管理，负责招标范围内的清扫保洁，负责及时将垃圾清运到指定的场所。班长专职进行管理工作，不得兼做保洁人员。具体人数如下：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（1）环卫作业人员年龄符合相关政策要求。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（2）各采购包人员总数最低应满足下表要求：</w:t>
      </w:r>
      <w:r/>
    </w:p>
    <w:tbl>
      <w:tblPr>
        <w:tblStyle w:val="924"/>
        <w:tblpPr w:horzAnchor="page" w:tblpX="1763" w:vertAnchor="text" w:tblpY="155"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336"/>
        <w:gridCol w:w="1498"/>
        <w:gridCol w:w="1560"/>
        <w:gridCol w:w="1798"/>
        <w:gridCol w:w="1074"/>
        <w:gridCol w:w="1253"/>
      </w:tblGrid>
      <w:tr>
        <w:trPr>
          <w:trHeight w:val="39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区 域</w:t>
            </w:r>
            <w:r/>
          </w:p>
        </w:tc>
        <w:tc>
          <w:tcPr>
            <w:shd w:val="clear" w:color="auto" w:fill="ffffff"/>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ascii="仿宋" w:hAnsi="仿宋" w:eastAsia="仿宋" w:cs="仿宋"/>
                <w:color w:val="auto"/>
                <w:sz w:val="21"/>
                <w:szCs w:val="21"/>
                <w:highlight w:val="none"/>
                <w:lang w:bidi="ar"/>
              </w:rPr>
              <w:t xml:space="preserve">道路保洁</w:t>
            </w:r>
            <w:r/>
          </w:p>
          <w:p>
            <w:pPr>
              <w:jc w:val="center"/>
              <w:widowControl/>
              <w:rPr>
                <w:rFonts w:ascii="仿宋" w:hAnsi="仿宋" w:eastAsia="仿宋" w:cs="仿宋"/>
                <w:color w:val="auto"/>
                <w:sz w:val="21"/>
                <w:szCs w:val="21"/>
                <w:highlight w:val="none"/>
                <w:lang w:bidi="ar"/>
              </w:rPr>
            </w:pPr>
            <w:r>
              <w:rPr>
                <w:rFonts w:ascii="仿宋" w:hAnsi="仿宋" w:eastAsia="仿宋" w:cs="仿宋"/>
                <w:color w:val="auto"/>
                <w:sz w:val="21"/>
                <w:szCs w:val="21"/>
                <w:highlight w:val="none"/>
                <w:lang w:bidi="ar"/>
              </w:rPr>
              <w:t xml:space="preserve">人员</w:t>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公厕保洁员</w:t>
            </w:r>
            <w:r/>
          </w:p>
        </w:tc>
        <w:tc>
          <w:tcPr>
            <w:shd w:val="clear" w:color="auto" w:fill="ffffff"/>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ascii="仿宋" w:hAnsi="仿宋" w:eastAsia="仿宋" w:cs="仿宋"/>
                <w:color w:val="auto"/>
                <w:sz w:val="21"/>
                <w:szCs w:val="21"/>
                <w:highlight w:val="none"/>
                <w:lang w:bidi="ar"/>
              </w:rPr>
              <w:t xml:space="preserve">驾驶员</w:t>
            </w:r>
            <w:r/>
          </w:p>
        </w:tc>
        <w:tc>
          <w:tcPr>
            <w:shd w:val="clear" w:color="auto" w:fill="ffffff"/>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ascii="仿宋" w:hAnsi="仿宋" w:eastAsia="仿宋" w:cs="仿宋"/>
                <w:color w:val="auto"/>
                <w:sz w:val="21"/>
                <w:szCs w:val="21"/>
                <w:highlight w:val="none"/>
                <w:lang w:bidi="ar"/>
              </w:rPr>
              <w:t xml:space="preserve">班组长</w:t>
            </w:r>
            <w:r/>
          </w:p>
        </w:tc>
        <w:tc>
          <w:tcPr>
            <w:shd w:val="clear" w:color="auto" w:fill="ffffff"/>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ascii="仿宋" w:hAnsi="仿宋" w:eastAsia="仿宋" w:cs="仿宋"/>
                <w:color w:val="auto"/>
                <w:sz w:val="21"/>
                <w:szCs w:val="21"/>
                <w:highlight w:val="none"/>
                <w:lang w:bidi="ar"/>
              </w:rPr>
              <w:t xml:space="preserve">总人数</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采购包1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359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489</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采购包2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318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454</w:t>
            </w:r>
            <w:r/>
          </w:p>
        </w:tc>
      </w:tr>
      <w:tr>
        <w:trPr>
          <w:trHeight w:val="698"/>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采购包3</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225</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采购包4</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107</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采购包5</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132</w:t>
            </w:r>
            <w:r/>
          </w:p>
        </w:tc>
      </w:tr>
    </w:tbl>
    <w:p>
      <w:pPr>
        <w:ind w:firstLine="48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固定一线作业人员不少于各采购包人数最低要求；一线现场作业人员年龄应符合《中华人民共和国劳动合同法》依法用工要求。班组长包括班长、主管、车队长，不包括供应商及为本项目组成的管理（治理）机构组成人员；道路保洁人员包括一线道路清扫、捡拾、快速巡回保洁人员等道路一线作业人员。</w:t>
      </w:r>
      <w:r/>
    </w:p>
    <w:p>
      <w:pPr>
        <w:ind w:firstLine="48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2、供应商提供满足项目部等人员办公所需要的场所。</w:t>
      </w:r>
      <w:r/>
    </w:p>
    <w:p>
      <w:pPr>
        <w:ind w:firstLine="48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3、供应商须为作业人员提供工作服及必要的劳动防护用品。</w:t>
      </w:r>
      <w:r/>
    </w:p>
    <w:p>
      <w:pPr>
        <w:ind w:firstLine="480"/>
        <w:spacing w:line="24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、人员上岗前必须进行身份证登记，将身份证复印件报甲方备案。</w:t>
      </w:r>
      <w:r/>
    </w:p>
    <w:p>
      <w:pPr>
        <w:ind w:firstLine="480"/>
        <w:spacing w:line="24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、管理人员和作业人员要经过岗位培训并取得合格证和上岗证后方可上岗。</w:t>
      </w:r>
      <w:r/>
    </w:p>
    <w:p>
      <w:pPr>
        <w:ind w:firstLine="480"/>
        <w:spacing w:line="24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、根据本项目的要求，建立完善相应的管理和作业网络，并严格执行。</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95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495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日期：  年  月  日</w:t>
      </w:r>
      <w:r/>
    </w:p>
    <w:p>
      <w:pP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2"/>
          <w:szCs w:val="32"/>
          <w:highlight w:val="none"/>
        </w:rPr>
      </w:r>
      <w:r/>
    </w:p>
    <w:p>
      <w:pP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十三、投标人对“设备、车辆配备要求”的承诺</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徐州市泉山区城市管理局： </w:t>
      </w:r>
      <w:r/>
    </w:p>
    <w:p>
      <w:pPr>
        <w:ind w:firstLine="7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投标人承诺：如我单位被确定为中标人，对</w:t>
      </w:r>
      <w:r>
        <w:rPr>
          <w:rFonts w:hint="eastAsia" w:ascii="仿宋" w:hAnsi="仿宋" w:eastAsia="仿宋" w:cs="仿宋"/>
          <w:color w:val="auto"/>
          <w:sz w:val="24"/>
          <w:highlight w:val="none"/>
          <w:u w:val="single"/>
        </w:rPr>
        <w:t xml:space="preserve">泉山区环卫市场化保洁项目项目 （项目编号：      ）</w:t>
      </w:r>
      <w:r>
        <w:rPr>
          <w:rFonts w:hint="eastAsia" w:ascii="仿宋" w:hAnsi="仿宋" w:eastAsia="仿宋" w:cs="仿宋"/>
          <w:color w:val="auto"/>
          <w:sz w:val="24"/>
          <w:highlight w:val="none"/>
        </w:rPr>
        <w:t xml:space="preserve">所配备的设备、车辆不低于招标文件“采购需求”的要求。具体如下：</w:t>
      </w:r>
      <w:r/>
    </w:p>
    <w:tbl>
      <w:tblPr>
        <w:tblStyle w:val="924"/>
        <w:tblpPr w:horzAnchor="page" w:tblpX="631" w:vertAnchor="text" w:tblpY="101" w:leftFromText="180" w:topFromText="0" w:rightFromText="180" w:bottomFromText="0"/>
        <w:tblW w:w="10957" w:type="dxa"/>
        <w:tblInd w:w="0" w:type="dxa"/>
        <w:tblLayout w:type="fixed"/>
        <w:tblCellMar>
          <w:left w:w="108" w:type="dxa"/>
          <w:top w:w="0" w:type="dxa"/>
          <w:right w:w="108" w:type="dxa"/>
          <w:bottom w:w="0" w:type="dxa"/>
        </w:tblCellMar>
        <w:tblLook w:val="04A0" w:firstRow="1" w:lastRow="0" w:firstColumn="1" w:lastColumn="0" w:noHBand="0" w:noVBand="1"/>
      </w:tblPr>
      <w:tblGrid>
        <w:gridCol w:w="697"/>
        <w:gridCol w:w="534"/>
        <w:gridCol w:w="534"/>
        <w:gridCol w:w="714"/>
        <w:gridCol w:w="354"/>
        <w:gridCol w:w="534"/>
        <w:gridCol w:w="534"/>
        <w:gridCol w:w="534"/>
        <w:gridCol w:w="816"/>
        <w:gridCol w:w="756"/>
        <w:gridCol w:w="756"/>
        <w:gridCol w:w="756"/>
        <w:gridCol w:w="756"/>
        <w:gridCol w:w="585"/>
        <w:gridCol w:w="585"/>
        <w:gridCol w:w="756"/>
        <w:gridCol w:w="756"/>
      </w:tblGrid>
      <w:tr>
        <w:trPr>
          <w:trHeight w:val="940"/>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区域</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高压清洗车（台）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洗扫一体车（台）</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1吨小型高压冲洗车（台）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专用巡回捡拾车（台）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快速保洁车（台）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护栏清洗车（台）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融雪剂撒布车（台）</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雪滚(台)</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雪铲(</w:t>
            </w:r>
            <w:r>
              <w:rPr>
                <w:rFonts w:hint="eastAsia" w:ascii="宋体" w:hAnsi="宋体" w:cs="宋体"/>
                <w:color w:val="auto"/>
                <w:sz w:val="18"/>
                <w:szCs w:val="18"/>
                <w:highlight w:val="none"/>
                <w:lang w:val="en-US" w:eastAsia="zh-CN" w:bidi="ar"/>
              </w:rPr>
              <w:t xml:space="preserve">个</w:t>
            </w:r>
            <w:r>
              <w:rPr>
                <w:rFonts w:hint="eastAsia" w:ascii="宋体" w:hAnsi="宋体" w:cs="宋体"/>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洒水车（</w:t>
            </w:r>
            <w:r>
              <w:rPr>
                <w:rFonts w:hint="eastAsia" w:ascii="宋体" w:hAnsi="宋体" w:cs="宋体"/>
                <w:color w:val="auto"/>
                <w:sz w:val="18"/>
                <w:szCs w:val="18"/>
                <w:highlight w:val="none"/>
                <w:lang w:val="en-US" w:eastAsia="zh-CN" w:bidi="ar"/>
              </w:rPr>
              <w:t xml:space="preserve">个</w:t>
            </w:r>
            <w:r>
              <w:rPr>
                <w:rFonts w:hint="eastAsia" w:ascii="宋体" w:hAnsi="宋体" w:cs="宋体"/>
                <w:color w:val="auto"/>
                <w:sz w:val="18"/>
                <w:szCs w:val="18"/>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无人驾驶</w:t>
            </w:r>
            <w:r>
              <w:rPr>
                <w:rFonts w:hint="eastAsia" w:ascii="宋体" w:hAnsi="宋体" w:cs="宋体"/>
                <w:color w:val="auto"/>
                <w:sz w:val="18"/>
                <w:szCs w:val="18"/>
                <w:highlight w:val="none"/>
                <w:lang w:val="en-US" w:eastAsia="zh-CN" w:bidi="ar"/>
              </w:rPr>
              <w:t xml:space="preserve">清扫一体车</w:t>
            </w:r>
            <w:r>
              <w:rPr>
                <w:rFonts w:hint="eastAsia" w:ascii="宋体" w:hAnsi="宋体" w:cs="宋体"/>
                <w:color w:val="auto"/>
                <w:sz w:val="18"/>
                <w:szCs w:val="18"/>
                <w:highlight w:val="none"/>
                <w:lang w:bidi="ar"/>
              </w:rPr>
              <w:t xml:space="preserve">（台）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000000"/>
                <w:sz w:val="18"/>
                <w:szCs w:val="18"/>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000000"/>
                <w:sz w:val="18"/>
                <w:szCs w:val="18"/>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采购包3</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000000"/>
                <w:sz w:val="18"/>
                <w:szCs w:val="18"/>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采购包4</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采购包5</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288"/>
        </w:trPr>
        <w:tc>
          <w:tcPr>
            <w:gridSpan w:val="17"/>
            <w:shd w:val="clear" w:color="auto" w:fill="ffffff"/>
            <w:tcBorders>
              <w:top w:val="single" w:color="000000" w:sz="4" w:space="0"/>
              <w:left w:val="single" w:color="000000" w:sz="4" w:space="0"/>
              <w:bottom w:val="single" w:color="000000" w:sz="4" w:space="0"/>
              <w:right w:val="single" w:color="000000" w:sz="4" w:space="0"/>
            </w:tcBorders>
            <w:tcW w:w="10957" w:type="dxa"/>
            <w:vAlign w:val="center"/>
            <w:textDirection w:val="lrTb"/>
            <w:noWrap w:val="false"/>
          </w:tcPr>
          <w:p>
            <w:pPr>
              <w:ind w:firstLine="540"/>
              <w:spacing w:line="360" w:lineRule="auto"/>
              <w:widowControl/>
              <w:rPr>
                <w:rFonts w:hint="default" w:ascii="仿宋" w:hAnsi="仿宋" w:eastAsia="仿宋" w:cs="仿宋"/>
                <w:color w:val="auto"/>
                <w:sz w:val="18"/>
                <w:szCs w:val="18"/>
                <w:highlight w:val="none"/>
                <w:lang w:val="en-US" w:bidi="ar"/>
              </w:rPr>
            </w:pPr>
            <w:r>
              <w:rPr>
                <w:rFonts w:hint="eastAsia" w:ascii="仿宋" w:hAnsi="仿宋" w:eastAsia="仿宋" w:cs="仿宋"/>
                <w:color w:val="auto"/>
                <w:sz w:val="18"/>
                <w:szCs w:val="18"/>
                <w:highlight w:val="none"/>
                <w:lang w:bidi="ar"/>
              </w:rPr>
              <w:t xml:space="preserve">注：</w:t>
            </w:r>
            <w:r>
              <w:rPr>
                <w:rFonts w:hint="eastAsia" w:ascii="仿宋" w:hAnsi="仿宋" w:eastAsia="仿宋" w:cs="仿宋"/>
                <w:color w:val="auto"/>
                <w:sz w:val="18"/>
                <w:szCs w:val="18"/>
                <w:highlight w:val="none"/>
                <w:lang w:val="en-US" w:eastAsia="zh-CN" w:bidi="ar"/>
              </w:rPr>
              <w:t xml:space="preserve">1</w:t>
            </w:r>
            <w:r>
              <w:rPr>
                <w:rFonts w:hint="eastAsia" w:ascii="仿宋" w:hAnsi="仿宋" w:eastAsia="仿宋" w:cs="仿宋"/>
                <w:color w:val="auto"/>
                <w:sz w:val="18"/>
                <w:szCs w:val="18"/>
                <w:highlight w:val="none"/>
                <w:lang w:bidi="ar"/>
              </w:rPr>
              <w:t xml:space="preserve">.</w:t>
            </w:r>
            <w:r>
              <w:rPr>
                <w:rFonts w:hint="eastAsia" w:ascii="仿宋" w:hAnsi="仿宋" w:eastAsia="仿宋" w:cs="仿宋"/>
                <w:color w:val="auto"/>
                <w:sz w:val="18"/>
                <w:szCs w:val="18"/>
                <w:highlight w:val="none"/>
                <w:lang w:val="en-US" w:eastAsia="zh-CN" w:bidi="ar"/>
              </w:rPr>
              <w:t xml:space="preserve">其中采购包1配置新能源高压清洗车、洗扫一体车4台，新能源1吨小型高压冲洗车9台；采购包2配置新能源高压清洗车、洗扫一体车3台，新能源1吨小型高压冲洗车7台；采购包3配置新能源高压清洗车、洗扫一体车3台，新能源1吨小型高压冲洗车5台；采购包4配置新能源高压清洗车、洗扫一体车2台，新能源1吨小型高压冲洗车3台；采购包5配置新能源高压清洗车、洗扫一体车2台，新能源1吨小型高压冲洗车2台。</w:t>
            </w:r>
            <w:r/>
          </w:p>
          <w:p>
            <w:pPr>
              <w:ind w:firstLine="540"/>
              <w:spacing w:line="360" w:lineRule="auto"/>
              <w:widowControl/>
              <w:rPr>
                <w:rFonts w:hint="eastAsia" w:ascii="仿宋" w:hAnsi="仿宋" w:eastAsia="仿宋" w:cs="仿宋"/>
                <w:color w:val="auto"/>
                <w:sz w:val="18"/>
                <w:szCs w:val="18"/>
                <w:highlight w:val="none"/>
                <w:lang w:val="en-US" w:eastAsia="zh-CN" w:bidi="ar"/>
              </w:rPr>
            </w:pPr>
            <w:r>
              <w:rPr>
                <w:rFonts w:hint="eastAsia" w:ascii="仿宋" w:hAnsi="仿宋" w:eastAsia="仿宋" w:cs="仿宋"/>
                <w:color w:val="auto"/>
                <w:sz w:val="18"/>
                <w:szCs w:val="18"/>
                <w:highlight w:val="none"/>
                <w:lang w:val="en-US" w:eastAsia="zh-CN" w:bidi="ar"/>
              </w:rPr>
              <w:t xml:space="preserve">2.</w:t>
            </w:r>
            <w:r>
              <w:rPr>
                <w:rFonts w:hint="eastAsia" w:ascii="仿宋" w:hAnsi="仿宋" w:eastAsia="仿宋" w:cs="仿宋"/>
                <w:color w:val="auto"/>
                <w:sz w:val="18"/>
                <w:szCs w:val="18"/>
                <w:highlight w:val="none"/>
                <w:lang w:bidi="ar"/>
              </w:rPr>
              <w:t xml:space="preserve">洒水车</w:t>
            </w:r>
            <w:r>
              <w:rPr>
                <w:rFonts w:hint="eastAsia" w:ascii="仿宋" w:hAnsi="仿宋" w:eastAsia="仿宋" w:cs="仿宋"/>
                <w:color w:val="auto"/>
                <w:sz w:val="18"/>
                <w:szCs w:val="18"/>
                <w:highlight w:val="none"/>
                <w:lang w:val="en-US" w:eastAsia="zh-CN" w:bidi="ar"/>
              </w:rPr>
              <w:t xml:space="preserve">应全部为新能源车辆。</w:t>
            </w:r>
            <w:r/>
          </w:p>
          <w:p>
            <w:pPr>
              <w:ind w:firstLine="540"/>
              <w:spacing w:line="360" w:lineRule="auto"/>
              <w:widowControl/>
              <w:rPr>
                <w:rFonts w:ascii="宋体" w:hAnsi="宋体" w:cs="宋体"/>
                <w:color w:val="auto"/>
                <w:sz w:val="18"/>
                <w:szCs w:val="18"/>
                <w:highlight w:val="none"/>
                <w:lang w:bidi="ar"/>
              </w:rPr>
            </w:pPr>
            <w:r>
              <w:rPr>
                <w:rFonts w:hint="eastAsia" w:ascii="仿宋" w:hAnsi="仿宋" w:eastAsia="仿宋" w:cs="仿宋"/>
                <w:color w:val="auto"/>
                <w:sz w:val="18"/>
                <w:szCs w:val="18"/>
                <w:highlight w:val="none"/>
                <w:lang w:val="en-US" w:eastAsia="zh-CN" w:bidi="ar"/>
              </w:rPr>
              <w:t xml:space="preserve">3.</w:t>
            </w:r>
            <w:r>
              <w:rPr>
                <w:rFonts w:hint="eastAsia" w:ascii="仿宋" w:hAnsi="仿宋" w:eastAsia="仿宋" w:cs="仿宋"/>
                <w:color w:val="auto"/>
                <w:sz w:val="18"/>
                <w:szCs w:val="18"/>
                <w:highlight w:val="none"/>
                <w:lang w:bidi="ar"/>
              </w:rPr>
              <w:t xml:space="preserve">合同签订后60日内，</w:t>
            </w:r>
            <w:r>
              <w:rPr>
                <w:rFonts w:hint="eastAsia" w:ascii="仿宋" w:hAnsi="仿宋" w:eastAsia="仿宋" w:cs="仿宋"/>
                <w:color w:val="auto"/>
                <w:sz w:val="18"/>
                <w:szCs w:val="18"/>
                <w:highlight w:val="none"/>
                <w:lang w:val="en-US" w:eastAsia="zh-CN" w:bidi="ar"/>
              </w:rPr>
              <w:t xml:space="preserve">供应商自有</w:t>
            </w:r>
            <w:r>
              <w:rPr>
                <w:rFonts w:hint="eastAsia" w:ascii="仿宋" w:hAnsi="仿宋" w:eastAsia="仿宋" w:cs="仿宋"/>
                <w:color w:val="auto"/>
                <w:sz w:val="18"/>
                <w:szCs w:val="18"/>
                <w:highlight w:val="none"/>
                <w:lang w:bidi="ar"/>
              </w:rPr>
              <w:t xml:space="preserve">车辆应配备到位，采购人组织验收。车辆配备未到位前，供应商应使用同等吨位要求的车辆进行服务。如供应商不能在采购人规定的时间内将车辆配备到位，采购人将立即终止合同。</w:t>
            </w:r>
            <w:r/>
          </w:p>
        </w:tc>
      </w:tr>
    </w:tbl>
    <w:p>
      <w:pPr>
        <w:pStyle w:val="1157"/>
        <w:ind w:left="0" w:firstLine="0"/>
        <w:rPr>
          <w:color w:val="auto"/>
          <w:highlight w:val="none"/>
        </w:rPr>
      </w:pPr>
      <w:r>
        <w:rPr>
          <w:color w:val="auto"/>
          <w:highlight w:val="none"/>
        </w:rPr>
      </w:r>
      <w:r/>
    </w:p>
    <w:p>
      <w:pPr>
        <w:pStyle w:val="925"/>
        <w:ind w:left="0" w:right="-65"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pStyle w:val="925"/>
        <w:ind w:left="0" w:right="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1.供应商提供满足项目车辆停放需求、符合相关规范的停放场所，不得占用道路、公共场地停车车辆。停车场出入口及场地连续硬化、无破损、无裸露黄土。</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2.高压清洗车、洗扫一体车、小型高压冲洗车）设备的所有权</w:t>
      </w:r>
      <w:r>
        <w:rPr>
          <w:rFonts w:hint="eastAsia" w:ascii="仿宋" w:hAnsi="仿宋" w:eastAsia="仿宋" w:cs="仿宋"/>
          <w:color w:val="auto"/>
          <w:sz w:val="24"/>
          <w:highlight w:val="none"/>
          <w:lang w:val="en-US" w:eastAsia="zh-CN"/>
        </w:rPr>
        <w:t xml:space="preserve">全部</w:t>
      </w:r>
      <w:r>
        <w:rPr>
          <w:rFonts w:hint="eastAsia" w:ascii="仿宋" w:hAnsi="仿宋" w:eastAsia="仿宋" w:cs="仿宋"/>
          <w:color w:val="auto"/>
          <w:sz w:val="24"/>
          <w:highlight w:val="none"/>
        </w:rPr>
        <w:t xml:space="preserve">属于供应商自有（以销售发票或机动车行驶证为准）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融雪剂撒布车</w:t>
      </w:r>
      <w:r>
        <w:rPr>
          <w:rFonts w:hint="eastAsia" w:ascii="仿宋" w:hAnsi="仿宋" w:eastAsia="仿宋" w:cs="仿宋"/>
          <w:color w:val="auto"/>
          <w:sz w:val="24"/>
          <w:highlight w:val="none"/>
          <w:lang w:val="en-US" w:eastAsia="zh-CN"/>
        </w:rPr>
        <w:t xml:space="preserve">的50%及以上</w:t>
      </w:r>
      <w:r>
        <w:rPr>
          <w:rFonts w:hint="eastAsia" w:ascii="仿宋" w:hAnsi="仿宋" w:eastAsia="仿宋" w:cs="仿宋"/>
          <w:color w:val="auto"/>
          <w:sz w:val="24"/>
          <w:highlight w:val="none"/>
        </w:rPr>
        <w:t xml:space="preserve">所有权属于供应商自有（以销售发票或机动车行驶证为准）。其余车型为供应商自有或租赁。鼓励使用无人驾驶设备。车辆须为2023年1月1日后出厂并取得机动车行驶证。</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在本项目</w:t>
      </w:r>
      <w:r>
        <w:rPr>
          <w:rFonts w:hint="eastAsia" w:ascii="仿宋" w:hAnsi="仿宋" w:eastAsia="仿宋" w:cs="仿宋"/>
          <w:color w:val="auto"/>
          <w:sz w:val="24"/>
          <w:highlight w:val="none"/>
          <w:lang w:val="en-US" w:eastAsia="zh-CN"/>
        </w:rPr>
        <w:t xml:space="preserve">各采购包</w:t>
      </w:r>
      <w:r>
        <w:rPr>
          <w:rFonts w:hint="eastAsia" w:ascii="仿宋" w:hAnsi="仿宋" w:eastAsia="仿宋" w:cs="仿宋"/>
          <w:color w:val="auto"/>
          <w:sz w:val="24"/>
          <w:highlight w:val="none"/>
          <w:lang w:val="en-US" w:eastAsia="zh"/>
        </w:rPr>
        <w:t xml:space="preserve">中新增或更新的</w:t>
      </w:r>
      <w:r>
        <w:rPr>
          <w:rFonts w:hint="eastAsia" w:ascii="仿宋" w:hAnsi="仿宋" w:eastAsia="仿宋" w:cs="仿宋"/>
          <w:color w:val="auto"/>
          <w:sz w:val="24"/>
          <w:highlight w:val="none"/>
          <w:lang w:val="en-US" w:eastAsia="zh-CN"/>
        </w:rPr>
        <w:t xml:space="preserve">轻型环卫车辆中</w:t>
      </w:r>
      <w:r>
        <w:rPr>
          <w:rFonts w:hint="eastAsia" w:ascii="仿宋" w:hAnsi="仿宋" w:eastAsia="仿宋" w:cs="仿宋"/>
          <w:color w:val="auto"/>
          <w:sz w:val="24"/>
          <w:highlight w:val="none"/>
          <w:lang w:val="en-US" w:eastAsia="zh"/>
        </w:rPr>
        <w:t xml:space="preserve">新能源</w:t>
      </w:r>
      <w:r>
        <w:rPr>
          <w:rFonts w:hint="eastAsia" w:ascii="仿宋" w:hAnsi="仿宋" w:eastAsia="仿宋" w:cs="仿宋"/>
          <w:color w:val="auto"/>
          <w:sz w:val="24"/>
          <w:highlight w:val="none"/>
          <w:lang w:val="en-US" w:eastAsia="zh-CN"/>
        </w:rPr>
        <w:t xml:space="preserve">车辆</w:t>
      </w:r>
      <w:r>
        <w:rPr>
          <w:rFonts w:hint="eastAsia" w:ascii="仿宋" w:hAnsi="仿宋" w:eastAsia="仿宋" w:cs="仿宋"/>
          <w:color w:val="auto"/>
          <w:sz w:val="24"/>
          <w:highlight w:val="none"/>
          <w:lang w:val="en-US" w:eastAsia="zh"/>
        </w:rPr>
        <w:t xml:space="preserve">比例不低于80%。</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应充分了解徐州市新能源车辆上牌上路政策，如因上牌等问题造成的车辆被交警扣留等情况由投标人自行负责。</w:t>
      </w:r>
      <w:r>
        <w:rPr>
          <w:rFonts w:hint="eastAsia" w:ascii="仿宋" w:hAnsi="仿宋" w:eastAsia="仿宋" w:cs="仿宋"/>
          <w:color w:val="auto"/>
          <w:sz w:val="24"/>
          <w:highlight w:val="none"/>
        </w:rPr>
        <w:t xml:space="preserve">投标文件中提供供应商车辆需为自有并提供相关证明材料；如暂未购买需在投标文件中提供《投标人对“设备、车辆配备要求”的承诺》的承诺文件，否则按照无效投标处理。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3.车辆达到国Ⅵ标准。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快速保洁车</w:t>
      </w:r>
      <w:r>
        <w:rPr>
          <w:rFonts w:hint="eastAsia" w:ascii="仿宋" w:hAnsi="仿宋" w:eastAsia="仿宋" w:cs="仿宋"/>
          <w:color w:val="auto"/>
          <w:sz w:val="24"/>
          <w:szCs w:val="24"/>
          <w:highlight w:val="none"/>
        </w:rPr>
        <w:t xml:space="preserve">如使用环卫机动和电动作业车辆符合法律法规要求，具备购买手续，使用国标车辆应当办理备案编号及办理车辆注册登记，并按照机动车进行管理。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5.设备（车辆）外观要求标识统一，中标后，必须按采购人要求进行车辆涂装，相关费用包含于投标报价内。</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6、部分设备（车辆）主要技术参数：（如果是新能源车辆，须达到同级别燃油车辆同等的性能和要求）：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（1）8吨高压清洗车技术参数：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最大总质量（kg）：≥18000；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最大清洗水压力（MPa）：≥10；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低压冲洗宽度（m）：≥14；</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新能源电池电量≥160kwh或燃油发动机额定功率≥170kw。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（2）12吨高压清洗车技术参数：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最大总质量（kg）：≥25000；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最大清洗水压力（MPa）：≥10；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低压冲洗宽度（m）：≥14；</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电池电量≥240kwh 或燃油发动机额定功率≥190kw。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（3）2吨洗扫车一体车技术参数：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最大总质量（kg）：≥1950；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最大洗扫宽度(含路缘清洗宽度)（m）：≥2；</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（4）4吨洗扫一体车技术参数：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最大总质量（kg）：≥7300；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最大洗扫宽度(含路缘清洗宽度)（m）：≥3.2；</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电池电量≥100kwh或发动机额定功率≥98kw；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（5）8吨洗扫车一体车技术参数：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最大总质量（kg）：≥18000；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清洗压力(MPa）：≥9.5；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电池电量≥240kwh或发动机额定功率≥169kw；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（6）12吨洗扫车一体车技术参数：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最大总质量（kg）：≥25000；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高压水泵额定压力(MPa）：≥10；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发动机额定功率≥210kw；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（7）1吨小型高压清洗车技术参数：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高压清洗压力（MPa） ≥15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清洗流量：（L/min）≥ 30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水箱容积：（m³）≥1</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电池电量≥14kwh；</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（8）融雪剂撒布车技术参数：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发动机功率（kW）≥150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滚刷宽度（mm）≥3100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前置式滚刷，适用于载重5吨及以上汽车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料仓容积（m³）≥9；</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撒布宽度（米）≥12，撒布宽度可调。</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（9）雪铲技术参数：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左右摆角：30±2度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避障高度≥150mm</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铲刃材质 ：65Mn</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最低作业温度：-40℃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（10）无人驾驶</w:t>
      </w:r>
      <w:r>
        <w:rPr>
          <w:rFonts w:hint="eastAsia" w:ascii="仿宋" w:hAnsi="仿宋" w:eastAsia="仿宋" w:cs="仿宋"/>
          <w:color w:val="auto"/>
          <w:sz w:val="24"/>
          <w:highlight w:val="none"/>
          <w:lang w:val="en-US" w:eastAsia="zh-CN"/>
        </w:rPr>
        <w:t xml:space="preserve">清扫一体车</w:t>
      </w:r>
      <w:r>
        <w:rPr>
          <w:rFonts w:hint="eastAsia" w:ascii="仿宋" w:hAnsi="仿宋" w:eastAsia="仿宋" w:cs="仿宋"/>
          <w:color w:val="auto"/>
          <w:sz w:val="24"/>
          <w:highlight w:val="none"/>
        </w:rPr>
        <w:t xml:space="preserve">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最大总质量（吨）：≥3；</w:t>
      </w:r>
      <w:r/>
    </w:p>
    <w:p>
      <w:pPr>
        <w:ind w:firstLine="465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投标人：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4650"/>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日期：  年  月  日</w:t>
      </w:r>
      <w:r/>
    </w:p>
    <w:p>
      <w:pP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十四、投标人对“中标后在徐州设立固定的办公场所</w:t>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（非住宅小区类）”的承诺</w:t>
      </w:r>
      <w:r/>
    </w:p>
    <w:p>
      <w:pPr>
        <w:pStyle w:val="1126"/>
        <w:ind w:left="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126"/>
        <w:ind w:left="0"/>
        <w:rPr>
          <w:rFonts w:ascii="仿宋" w:hAnsi="仿宋" w:eastAsia="仿宋" w:cs="仿宋"/>
          <w:color w:val="auto"/>
          <w:highlight w:val="none"/>
        </w:rPr>
      </w:pPr>
      <w:r>
        <w:rPr>
          <w:rFonts w:hint="eastAsia" w:ascii="仿宋" w:hAnsi="仿宋" w:eastAsia="仿宋" w:cs="仿宋"/>
          <w:color w:val="auto"/>
          <w:sz w:val="24"/>
          <w:szCs w:val="24"/>
          <w:highlight w:val="none"/>
        </w:rPr>
        <w:t xml:space="preserve">徐州市泉山区城市管理局：</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投标人承诺：如我单位被确定为中标人，中标后签订合同前在徐州设立固定的办公场所（非住宅小区类）。</w:t>
      </w:r>
      <w:r/>
    </w:p>
    <w:p>
      <w:pPr>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600"/>
        <w:spacing w:line="480" w:lineRule="exact"/>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pStyle w:val="1126"/>
        <w:ind w:left="0" w:right="0"/>
        <w:jc w:val="center"/>
        <w:spacing w:after="0"/>
        <w:rPr>
          <w:rFonts w:ascii="仿宋" w:hAnsi="仿宋" w:eastAsia="仿宋" w:cs="仿宋"/>
          <w:b/>
          <w:bCs/>
          <w:color w:val="auto"/>
          <w:szCs w:val="28"/>
          <w:highlight w:val="none"/>
        </w:rPr>
      </w:pPr>
      <w:r>
        <w:rPr>
          <w:rFonts w:ascii="仿宋" w:hAnsi="仿宋" w:eastAsia="仿宋" w:cs="仿宋"/>
          <w:b/>
          <w:bCs/>
          <w:color w:val="auto"/>
          <w:szCs w:val="28"/>
          <w:highlight w:val="none"/>
        </w:rPr>
      </w:r>
      <w:r/>
    </w:p>
    <w:p>
      <w:pP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十五、投标人对“中标后提供满足项目车辆停放需求、符合相关规范要求的停车场”的承诺</w:t>
      </w:r>
      <w:r/>
    </w:p>
    <w:p>
      <w:pPr>
        <w:pStyle w:val="1126"/>
        <w:ind w:left="600"/>
        <w:rPr>
          <w:rFonts w:ascii="仿宋" w:hAnsi="仿宋" w:eastAsia="仿宋" w:cs="仿宋"/>
          <w:color w:val="auto"/>
          <w:highlight w:val="none"/>
        </w:rPr>
      </w:pPr>
      <w:r>
        <w:rPr>
          <w:rFonts w:ascii="仿宋" w:hAnsi="仿宋" w:eastAsia="仿宋" w:cs="仿宋"/>
          <w:color w:val="auto"/>
          <w:highlight w:val="none"/>
        </w:rPr>
      </w:r>
      <w:r/>
    </w:p>
    <w:p>
      <w:pPr>
        <w:pStyle w:val="1126"/>
        <w:ind w:left="0"/>
        <w:rPr>
          <w:rFonts w:ascii="仿宋" w:hAnsi="仿宋" w:eastAsia="仿宋" w:cs="仿宋"/>
          <w:color w:val="auto"/>
          <w:highlight w:val="none"/>
        </w:rPr>
      </w:pPr>
      <w:r>
        <w:rPr>
          <w:rFonts w:hint="eastAsia" w:ascii="仿宋" w:hAnsi="仿宋" w:eastAsia="仿宋" w:cs="仿宋"/>
          <w:color w:val="auto"/>
          <w:sz w:val="24"/>
          <w:szCs w:val="24"/>
          <w:highlight w:val="none"/>
        </w:rPr>
        <w:t xml:space="preserve">徐州市泉山区城市管理局：</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投标人承诺：如我单位被确定为中标人，中标后签订合同前在徐州提供满足项目车辆停放需求、符合相关规范要求的停车场。</w:t>
      </w:r>
      <w:r/>
    </w:p>
    <w:p>
      <w:pPr>
        <w:ind w:firstLine="600"/>
        <w:spacing w:line="480" w:lineRule="exact"/>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日期：   年  月  日</w:t>
      </w:r>
      <w:r/>
    </w:p>
    <w:p>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spacing w:line="360" w:lineRule="auto"/>
        <w:rPr>
          <w:rFonts w:ascii="仿宋" w:hAnsi="仿宋" w:eastAsia="仿宋" w:cs="仿宋"/>
          <w:b/>
          <w:bCs/>
          <w:color w:val="auto"/>
          <w:sz w:val="28"/>
          <w:szCs w:val="28"/>
          <w:highlight w:val="none"/>
        </w:rPr>
        <w:outlineLvl w:val="1"/>
      </w:pPr>
      <w:r>
        <w:rPr>
          <w:rFonts w:hint="eastAsia" w:ascii="仿宋" w:hAnsi="仿宋" w:eastAsia="仿宋" w:cs="仿宋"/>
          <w:b/>
          <w:bCs/>
          <w:color w:val="auto"/>
          <w:sz w:val="32"/>
          <w:szCs w:val="32"/>
          <w:highlight w:val="none"/>
        </w:rPr>
        <w:t xml:space="preserve">十六、按时足额发放工人工资的承诺书</w:t>
      </w:r>
      <w:r/>
    </w:p>
    <w:p>
      <w:pPr>
        <w:spacing w:line="44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126"/>
        <w:ind w:left="0"/>
        <w:rPr>
          <w:rFonts w:ascii="仿宋" w:hAnsi="仿宋" w:eastAsia="仿宋" w:cs="仿宋"/>
          <w:bCs/>
          <w:color w:val="auto"/>
          <w:sz w:val="24"/>
          <w:highlight w:val="none"/>
        </w:rPr>
      </w:pPr>
      <w:r>
        <w:rPr>
          <w:rFonts w:hint="eastAsia" w:ascii="仿宋" w:hAnsi="仿宋" w:eastAsia="仿宋" w:cs="仿宋"/>
          <w:color w:val="auto"/>
          <w:sz w:val="24"/>
          <w:szCs w:val="24"/>
          <w:highlight w:val="none"/>
        </w:rPr>
        <w:t xml:space="preserve">徐州市泉山区城市管理局：</w:t>
      </w:r>
      <w:r/>
    </w:p>
    <w:p>
      <w:pPr>
        <w:ind w:firstLine="560"/>
        <w:jc w:val="left"/>
        <w:spacing w:line="440" w:lineRule="exact"/>
        <w:widowControl/>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本单位承诺：每月按时足额发放工人工资，不拖欠工人工资，由此导致的不稳定问题由我公司负责解决并承担全部责任。</w:t>
      </w:r>
      <w:r/>
    </w:p>
    <w:p>
      <w:pPr>
        <w:ind w:firstLine="480"/>
        <w:spacing w:line="44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本单位对上述承诺的真实性负责。如有虚假，将依法承担相应责任。</w:t>
      </w:r>
      <w:r/>
    </w:p>
    <w:p>
      <w:pPr>
        <w:spacing w:line="44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spacing w:line="44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ind w:right="560" w:firstLine="2410"/>
        <w:jc w:val="right"/>
        <w:spacing w:line="440" w:lineRule="exact"/>
        <w:widowControl/>
        <w:rPr>
          <w:rFonts w:ascii="仿宋" w:hAnsi="仿宋" w:eastAsia="仿宋" w:cs="仿宋"/>
          <w:bCs/>
          <w:color w:val="auto"/>
          <w:sz w:val="24"/>
          <w:szCs w:val="20"/>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rPr>
          <w:rFonts w:hint="eastAsia" w:ascii="仿宋" w:hAnsi="仿宋" w:eastAsia="仿宋" w:cs="仿宋"/>
          <w:bCs/>
          <w:color w:val="auto"/>
          <w:sz w:val="24"/>
          <w:szCs w:val="20"/>
          <w:highlight w:val="none"/>
        </w:rPr>
        <w:t xml:space="preserve">           </w:t>
      </w:r>
      <w:r/>
    </w:p>
    <w:p>
      <w:pPr>
        <w:ind w:left="420" w:right="33"/>
        <w:jc w:val="lef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ind w:right="560" w:firstLine="2410"/>
        <w:jc w:val="right"/>
        <w:spacing w:line="440" w:lineRule="exact"/>
        <w:widowControl/>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日期：   年  月  日 </w:t>
      </w:r>
      <w:r/>
    </w:p>
    <w:p>
      <w:pPr>
        <w:jc w:val="center"/>
        <w:spacing w:line="360" w:lineRule="auto"/>
        <w:rPr>
          <w:rFonts w:ascii="仿宋" w:hAnsi="仿宋" w:eastAsia="仿宋" w:cs="仿宋"/>
          <w:b/>
          <w:bCs/>
          <w:color w:val="auto"/>
          <w:sz w:val="32"/>
          <w:szCs w:val="32"/>
          <w:highlight w:val="none"/>
        </w:rPr>
        <w:outlineLvl w:val="1"/>
      </w:pPr>
      <w:r>
        <w:rPr>
          <w:rFonts w:ascii="仿宋" w:hAnsi="仿宋" w:eastAsia="仿宋" w:cs="仿宋"/>
          <w:b/>
          <w:bCs/>
          <w:color w:val="auto"/>
          <w:sz w:val="32"/>
          <w:szCs w:val="32"/>
          <w:highlight w:val="none"/>
        </w:rPr>
      </w:r>
      <w:r/>
    </w:p>
    <w:p>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ascii="仿宋" w:hAnsi="仿宋" w:eastAsia="仿宋" w:cs="仿宋"/>
          <w:b/>
          <w:bCs/>
          <w:color w:val="auto"/>
          <w:sz w:val="28"/>
          <w:szCs w:val="28"/>
          <w:highlight w:val="none"/>
        </w:rPr>
        <w:outlineLvl w:val="1"/>
      </w:pPr>
      <w:r>
        <w:rPr>
          <w:rFonts w:hint="eastAsia" w:ascii="仿宋" w:hAnsi="仿宋" w:eastAsia="仿宋" w:cs="仿宋"/>
          <w:b/>
          <w:bCs/>
          <w:color w:val="auto"/>
          <w:sz w:val="32"/>
          <w:szCs w:val="32"/>
          <w:highlight w:val="none"/>
        </w:rPr>
        <w:t xml:space="preserve">十七、安全承诺责任书</w:t>
      </w:r>
      <w:r/>
    </w:p>
    <w:p>
      <w:pPr>
        <w:pStyle w:val="1126"/>
        <w:ind w:left="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徐州市泉山区城市管理局：</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如我单位中标，我方将认真履行本次采购项目的所有承诺，我方愿承担所聘全部保洁人员的人身安全及保洁车辆及设备的财产安全的全部责任，一旦发生安全问题，均由我方全权负责。</w:t>
      </w:r>
      <w:r/>
    </w:p>
    <w:p>
      <w:pPr>
        <w:ind w:right="560" w:firstLine="2410"/>
        <w:jc w:val="right"/>
        <w:spacing w:line="440" w:lineRule="exact"/>
        <w:widowControl/>
        <w:rPr>
          <w:rFonts w:ascii="仿宋" w:hAnsi="仿宋" w:eastAsia="仿宋" w:cs="仿宋"/>
          <w:bCs/>
          <w:color w:val="auto"/>
          <w:sz w:val="24"/>
          <w:szCs w:val="20"/>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rPr>
          <w:rFonts w:hint="eastAsia" w:ascii="仿宋" w:hAnsi="仿宋" w:eastAsia="仿宋" w:cs="仿宋"/>
          <w:bCs/>
          <w:color w:val="auto"/>
          <w:sz w:val="24"/>
          <w:szCs w:val="20"/>
          <w:highlight w:val="none"/>
        </w:rPr>
        <w:t xml:space="preserve">           </w:t>
      </w:r>
      <w:r/>
    </w:p>
    <w:p>
      <w:pPr>
        <w:ind w:left="420" w:right="33"/>
        <w:jc w:val="lef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ind w:right="560" w:firstLine="2410"/>
        <w:jc w:val="right"/>
        <w:spacing w:line="440" w:lineRule="exact"/>
        <w:widowControl/>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日期：   年  月  日 </w:t>
      </w:r>
      <w:r/>
    </w:p>
    <w:p>
      <w:pP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十八、联合体协议书</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w:t>
      </w:r>
      <w:r>
        <w:rPr>
          <w:rFonts w:hint="eastAsia" w:ascii="仿宋" w:hAnsi="仿宋" w:eastAsia="仿宋" w:cs="仿宋"/>
          <w:color w:val="auto"/>
          <w:sz w:val="24"/>
          <w:highlight w:val="none"/>
          <w:u w:val="single"/>
        </w:rPr>
        <w:t xml:space="preserve">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w:t>
      </w:r>
      <w:r>
        <w:rPr>
          <w:rFonts w:hint="eastAsia" w:ascii="仿宋" w:hAnsi="仿宋" w:eastAsia="仿宋" w:cs="仿宋"/>
          <w:color w:val="auto"/>
          <w:sz w:val="24"/>
          <w:highlight w:val="none"/>
          <w:u w:val="single"/>
        </w:rPr>
        <w:t xml:space="preserve">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经友好协商一致，甲方与乙方就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（项目名称）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）政府采购项目，达成如下协议：</w:t>
      </w:r>
      <w:r/>
    </w:p>
    <w:p>
      <w:pPr>
        <w:numPr>
          <w:ilvl w:val="0"/>
          <w:numId w:val="6"/>
        </w:numPr>
        <w:ind w:firstLine="6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甲乙双方自愿组成联合体，参加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）的政府采购活动。</w:t>
      </w:r>
      <w:r/>
    </w:p>
    <w:p>
      <w:pPr>
        <w:pStyle w:val="1152"/>
        <w:numPr>
          <w:ilvl w:val="0"/>
          <w:numId w:val="6"/>
        </w:numPr>
        <w:ind w:firstLine="600"/>
        <w:spacing w:line="360" w:lineRule="auto"/>
        <w:rPr>
          <w:rFonts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作为联合体牵头单位，合法代表联合体各成员负责本招标项目投标文件编制和合同签订等招投标活动，并代表联合体提交和接收相关的资料、信息及指示，处理与之有关的一切事务，对项目整体质量、进度管控。</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3、联合体各方任务分工</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甲方（联合体牵头单位）工作内容：</w:t>
      </w:r>
      <w:r>
        <w:rPr>
          <w:rFonts w:hint="eastAsia" w:ascii="仿宋" w:hAnsi="仿宋" w:eastAsia="仿宋" w:cs="仿宋"/>
          <w:color w:val="auto"/>
          <w:sz w:val="24"/>
          <w:highlight w:val="none"/>
          <w:u w:val="single"/>
        </w:rPr>
        <w:t xml:space="preserve">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乙方（联合体成员单位）工作内容：</w:t>
      </w:r>
      <w:r>
        <w:rPr>
          <w:rFonts w:hint="eastAsia" w:ascii="仿宋" w:hAnsi="仿宋" w:eastAsia="仿宋" w:cs="仿宋"/>
          <w:color w:val="auto"/>
          <w:sz w:val="24"/>
          <w:highlight w:val="none"/>
          <w:u w:val="single"/>
        </w:rPr>
        <w:t xml:space="preserve">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4、联合体各方不得再以自己名义在本项目中单独投标，也不能和其他单位再组成联合体投标。因发生上述问题导致联合体投标成为废标，联合体的其他成员可追究违约行为。</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5、作为联合体我们承诺中标后联合体各方将向采购人承担连带责任。</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6、若未中标，本协议自动废止。</w:t>
      </w:r>
      <w:r/>
    </w:p>
    <w:p>
      <w:pPr>
        <w:jc w:val="lef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甲方（盖章）：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法定代表人（盖章或签字）：               </w:t>
      </w:r>
      <w:r/>
    </w:p>
    <w:p>
      <w:pPr>
        <w:ind w:right="600" w:firstLine="60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乙方（盖章）：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法定代表人（盖章或签字）：               </w:t>
      </w:r>
      <w:r/>
    </w:p>
    <w:p>
      <w:pPr>
        <w:pStyle w:val="958"/>
        <w:ind w:left="0" w:right="1470" w:firstLine="60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155"/>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※注意：</w:t>
      </w:r>
      <w:r/>
    </w:p>
    <w:p>
      <w:pPr>
        <w:pStyle w:val="1155"/>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1、招标文件接受联合体投标且投标人为联合体的，投标人应提供本协议；否则无须提供。</w:t>
      </w:r>
      <w:r/>
    </w:p>
    <w:p>
      <w:pPr>
        <w:pStyle w:val="1155"/>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2、本协议由委托代理人签字或盖章的，应按照本章载明的格式提供“单位授权书”。</w:t>
      </w:r>
      <w:r/>
    </w:p>
    <w:p>
      <w:pPr>
        <w:jc w:val="cente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3、在以联合体形式落实中小企业预留份额项目中，投标人除了要提供《中小</w:t>
      </w:r>
      <w:r/>
    </w:p>
    <w:p>
      <w:pPr>
        <w:spacing w:line="360" w:lineRule="auto"/>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企业声明函》，还需提供本协议。</w:t>
      </w:r>
      <w:r/>
    </w:p>
    <w:p>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十七、预付款保函支付条款模板</w:t>
      </w:r>
      <w:r/>
    </w:p>
    <w:p>
      <w:pPr>
        <w:ind w:firstLine="605"/>
        <w:spacing w:line="479"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highlight w:val="none"/>
        </w:rPr>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符合条件一：提交预付款保函的</w:t>
      </w:r>
      <w:r/>
    </w:p>
    <w:p>
      <w:pPr>
        <w:ind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（1）合同签订且乙方向甲方出具预付款保函后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        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left="140" w:firstLine="602"/>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乙方需提交的支付文件：乙方出具的全额正式发票。</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（2）验收合格后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w:t>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符合条件二：不提交预付款保函的</w:t>
      </w:r>
      <w:r/>
    </w:p>
    <w:p>
      <w:pPr>
        <w:ind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（1）合同签订后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乙方需提交的支付文件：乙方出具的全额正式发票。</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（2）验收合格后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w:t>
      </w:r>
      <w:r/>
    </w:p>
    <w:p>
      <w:pPr>
        <w:ind w:left="140"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注:</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1、付款条件一中，出具预付款保函后支付的合同款应当与保函金额一致。</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2、付款条件二中，预付款比例设定应符合《关于做好政府采购支持企业发展有关事项的通知》(苏财购〔2020〕52号)要求。</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ourier New">
    <w:panose1 w:val="02070309020205020404"/>
  </w:font>
  <w:font w:name="Calibri Light">
    <w:panose1 w:val="020F0302020204030204"/>
  </w:font>
  <w:font w:name="Symbol">
    <w:panose1 w:val="05050102010706020507"/>
  </w:font>
  <w:font w:name="新宋体">
    <w:panose1 w:val="02010609030101010101"/>
  </w:font>
  <w:font w:name="Calibri">
    <w:panose1 w:val="020F0502020204030204"/>
  </w:font>
  <w:font w:name="黑体">
    <w:panose1 w:val="02010609060101010101"/>
  </w:font>
  <w:font w:name="仿宋_GB2312">
    <w:panose1 w:val="02010609060101010101"/>
  </w:font>
  <w:font w:name="Arial">
    <w:panose1 w:val="020B0604020202020204"/>
  </w:font>
  <w:font w:name="方正仿宋_GB18030">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p>
    <w:pPr>
      <w:pStyle w:val="937"/>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0"/>
      <w:jc w:val="left"/>
      <w:spacing w:line="171" w:lineRule="auto"/>
      <w:widowControl/>
      <w:rPr>
        <w:rFonts w:eastAsia="Times New Roman"/>
        <w:color w:val="000000"/>
        <w:sz w:val="15"/>
        <w:szCs w:val="15"/>
        <w:lang w:eastAsia="en-US"/>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6">
    <w:name w:val="Heading 1 Char"/>
    <w:basedOn w:val="923"/>
    <w:link w:val="914"/>
    <w:uiPriority w:val="9"/>
    <w:rPr>
      <w:rFonts w:ascii="Arial" w:hAnsi="Arial" w:eastAsia="Arial" w:cs="Arial"/>
      <w:sz w:val="40"/>
      <w:szCs w:val="40"/>
    </w:rPr>
  </w:style>
  <w:style w:type="character" w:styleId="877">
    <w:name w:val="Heading 2 Char"/>
    <w:basedOn w:val="923"/>
    <w:link w:val="915"/>
    <w:uiPriority w:val="9"/>
    <w:rPr>
      <w:rFonts w:ascii="Arial" w:hAnsi="Arial" w:eastAsia="Arial" w:cs="Arial"/>
      <w:sz w:val="34"/>
    </w:rPr>
  </w:style>
  <w:style w:type="character" w:styleId="878">
    <w:name w:val="Heading 3 Char"/>
    <w:basedOn w:val="923"/>
    <w:link w:val="916"/>
    <w:uiPriority w:val="9"/>
    <w:rPr>
      <w:rFonts w:ascii="Arial" w:hAnsi="Arial" w:eastAsia="Arial" w:cs="Arial"/>
      <w:sz w:val="30"/>
      <w:szCs w:val="30"/>
    </w:rPr>
  </w:style>
  <w:style w:type="character" w:styleId="879">
    <w:name w:val="Heading 4 Char"/>
    <w:basedOn w:val="923"/>
    <w:link w:val="917"/>
    <w:uiPriority w:val="9"/>
    <w:rPr>
      <w:rFonts w:ascii="Arial" w:hAnsi="Arial" w:eastAsia="Arial" w:cs="Arial"/>
      <w:b/>
      <w:bCs/>
      <w:sz w:val="26"/>
      <w:szCs w:val="26"/>
    </w:rPr>
  </w:style>
  <w:style w:type="character" w:styleId="880">
    <w:name w:val="Heading 5 Char"/>
    <w:basedOn w:val="923"/>
    <w:link w:val="918"/>
    <w:uiPriority w:val="9"/>
    <w:rPr>
      <w:rFonts w:ascii="Arial" w:hAnsi="Arial" w:eastAsia="Arial" w:cs="Arial"/>
      <w:b/>
      <w:bCs/>
      <w:sz w:val="24"/>
      <w:szCs w:val="24"/>
    </w:rPr>
  </w:style>
  <w:style w:type="character" w:styleId="881">
    <w:name w:val="Heading 6 Char"/>
    <w:basedOn w:val="923"/>
    <w:link w:val="919"/>
    <w:uiPriority w:val="9"/>
    <w:rPr>
      <w:rFonts w:ascii="Arial" w:hAnsi="Arial" w:eastAsia="Arial" w:cs="Arial"/>
      <w:b/>
      <w:bCs/>
      <w:sz w:val="22"/>
      <w:szCs w:val="22"/>
    </w:rPr>
  </w:style>
  <w:style w:type="character" w:styleId="882">
    <w:name w:val="Heading 7 Char"/>
    <w:basedOn w:val="923"/>
    <w:link w:val="920"/>
    <w:uiPriority w:val="9"/>
    <w:rPr>
      <w:rFonts w:ascii="Arial" w:hAnsi="Arial" w:eastAsia="Arial" w:cs="Arial"/>
      <w:b/>
      <w:bCs/>
      <w:i/>
      <w:iCs/>
      <w:sz w:val="22"/>
      <w:szCs w:val="22"/>
    </w:rPr>
  </w:style>
  <w:style w:type="character" w:styleId="883">
    <w:name w:val="Heading 8 Char"/>
    <w:basedOn w:val="923"/>
    <w:link w:val="921"/>
    <w:uiPriority w:val="9"/>
    <w:rPr>
      <w:rFonts w:ascii="Arial" w:hAnsi="Arial" w:eastAsia="Arial" w:cs="Arial"/>
      <w:i/>
      <w:iCs/>
      <w:sz w:val="22"/>
      <w:szCs w:val="22"/>
    </w:rPr>
  </w:style>
  <w:style w:type="character" w:styleId="884">
    <w:name w:val="Heading 9 Char"/>
    <w:basedOn w:val="923"/>
    <w:link w:val="922"/>
    <w:uiPriority w:val="9"/>
    <w:rPr>
      <w:rFonts w:ascii="Arial" w:hAnsi="Arial" w:eastAsia="Arial" w:cs="Arial"/>
      <w:i/>
      <w:iCs/>
      <w:sz w:val="21"/>
      <w:szCs w:val="21"/>
    </w:rPr>
  </w:style>
  <w:style w:type="character" w:styleId="885">
    <w:name w:val="Title Char"/>
    <w:basedOn w:val="923"/>
    <w:link w:val="948"/>
    <w:uiPriority w:val="10"/>
    <w:rPr>
      <w:sz w:val="48"/>
      <w:szCs w:val="48"/>
    </w:rPr>
  </w:style>
  <w:style w:type="character" w:styleId="886">
    <w:name w:val="Subtitle Char"/>
    <w:basedOn w:val="923"/>
    <w:link w:val="941"/>
    <w:uiPriority w:val="11"/>
    <w:rPr>
      <w:sz w:val="24"/>
      <w:szCs w:val="24"/>
    </w:rPr>
  </w:style>
  <w:style w:type="character" w:styleId="887">
    <w:name w:val="Quote Char"/>
    <w:link w:val="989"/>
    <w:uiPriority w:val="29"/>
    <w:rPr>
      <w:i/>
    </w:rPr>
  </w:style>
  <w:style w:type="character" w:styleId="888">
    <w:name w:val="Intense Quote Char"/>
    <w:link w:val="991"/>
    <w:uiPriority w:val="30"/>
    <w:rPr>
      <w:i/>
    </w:rPr>
  </w:style>
  <w:style w:type="character" w:styleId="889">
    <w:name w:val="Header Char"/>
    <w:basedOn w:val="923"/>
    <w:link w:val="938"/>
    <w:uiPriority w:val="99"/>
  </w:style>
  <w:style w:type="character" w:styleId="890">
    <w:name w:val="Caption Char"/>
    <w:basedOn w:val="928"/>
    <w:link w:val="937"/>
    <w:uiPriority w:val="99"/>
  </w:style>
  <w:style w:type="table" w:styleId="891">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0">
    <w:name w:val="Footnote Text Char"/>
    <w:link w:val="942"/>
    <w:uiPriority w:val="99"/>
    <w:rPr>
      <w:sz w:val="18"/>
    </w:rPr>
  </w:style>
  <w:style w:type="character" w:styleId="911">
    <w:name w:val="Endnote Text Char"/>
    <w:link w:val="936"/>
    <w:uiPriority w:val="99"/>
    <w:rPr>
      <w:sz w:val="20"/>
    </w:rPr>
  </w:style>
  <w:style w:type="paragraph" w:styleId="912">
    <w:name w:val="TOC Heading"/>
    <w:uiPriority w:val="39"/>
    <w:unhideWhenUsed/>
  </w:style>
  <w:style w:type="paragraph" w:styleId="91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4">
    <w:name w:val="Heading 1"/>
    <w:basedOn w:val="925"/>
    <w:next w:val="925"/>
    <w:link w:val="976"/>
    <w:uiPriority w:val="9"/>
    <w:qFormat/>
    <w:pPr>
      <w:keepLines/>
      <w:keepNext/>
      <w:spacing w:before="480" w:after="200"/>
      <w:outlineLvl w:val="0"/>
    </w:pPr>
    <w:rPr>
      <w:rFonts w:ascii="Arial" w:hAnsi="Arial" w:eastAsia="Arial" w:cs="Arial"/>
      <w:sz w:val="40"/>
      <w:szCs w:val="40"/>
    </w:rPr>
  </w:style>
  <w:style w:type="paragraph" w:styleId="915">
    <w:name w:val="Heading 2"/>
    <w:basedOn w:val="913"/>
    <w:next w:val="913"/>
    <w:link w:val="977"/>
    <w:uiPriority w:val="9"/>
    <w:unhideWhenUsed/>
    <w:qFormat/>
    <w:pPr>
      <w:keepLines/>
      <w:keepNext/>
      <w:spacing w:before="360" w:after="200"/>
      <w:outlineLvl w:val="1"/>
    </w:pPr>
    <w:rPr>
      <w:rFonts w:ascii="Arial" w:hAnsi="Arial" w:eastAsia="Arial" w:cs="Arial"/>
      <w:sz w:val="34"/>
    </w:rPr>
  </w:style>
  <w:style w:type="paragraph" w:styleId="916">
    <w:name w:val="Heading 3"/>
    <w:basedOn w:val="913"/>
    <w:next w:val="913"/>
    <w:link w:val="978"/>
    <w:uiPriority w:val="9"/>
    <w:unhideWhenUsed/>
    <w:qFormat/>
    <w:pPr>
      <w:keepLines/>
      <w:keepNext/>
      <w:spacing w:before="320" w:after="200"/>
      <w:outlineLvl w:val="2"/>
    </w:pPr>
    <w:rPr>
      <w:rFonts w:ascii="Arial" w:hAnsi="Arial" w:eastAsia="Arial" w:cs="Arial"/>
      <w:sz w:val="30"/>
      <w:szCs w:val="30"/>
    </w:rPr>
  </w:style>
  <w:style w:type="paragraph" w:styleId="917">
    <w:name w:val="Heading 4"/>
    <w:basedOn w:val="913"/>
    <w:next w:val="913"/>
    <w:link w:val="979"/>
    <w:uiPriority w:val="9"/>
    <w:unhideWhenUsed/>
    <w:qFormat/>
    <w:pPr>
      <w:keepLines/>
      <w:keepNext/>
      <w:spacing w:before="320" w:after="200"/>
      <w:outlineLvl w:val="3"/>
    </w:pPr>
    <w:rPr>
      <w:rFonts w:ascii="Arial" w:hAnsi="Arial" w:eastAsia="Arial" w:cs="Arial"/>
      <w:b/>
      <w:bCs/>
      <w:sz w:val="26"/>
      <w:szCs w:val="26"/>
    </w:rPr>
  </w:style>
  <w:style w:type="paragraph" w:styleId="918">
    <w:name w:val="Heading 5"/>
    <w:basedOn w:val="913"/>
    <w:next w:val="913"/>
    <w:link w:val="980"/>
    <w:uiPriority w:val="9"/>
    <w:unhideWhenUsed/>
    <w:qFormat/>
    <w:pPr>
      <w:keepLines/>
      <w:keepNext/>
      <w:spacing w:before="320" w:after="200"/>
      <w:outlineLvl w:val="4"/>
    </w:pPr>
    <w:rPr>
      <w:rFonts w:ascii="Arial" w:hAnsi="Arial" w:eastAsia="Arial" w:cs="Arial"/>
      <w:b/>
      <w:bCs/>
      <w:sz w:val="24"/>
    </w:rPr>
  </w:style>
  <w:style w:type="paragraph" w:styleId="919">
    <w:name w:val="Heading 6"/>
    <w:basedOn w:val="913"/>
    <w:next w:val="913"/>
    <w:link w:val="981"/>
    <w:uiPriority w:val="9"/>
    <w:unhideWhenUsed/>
    <w:qFormat/>
    <w:pPr>
      <w:keepLines/>
      <w:keepNext/>
      <w:spacing w:before="320" w:after="200"/>
      <w:outlineLvl w:val="5"/>
    </w:pPr>
    <w:rPr>
      <w:rFonts w:ascii="Arial" w:hAnsi="Arial" w:eastAsia="Arial" w:cs="Arial"/>
      <w:b/>
      <w:bCs/>
      <w:sz w:val="22"/>
      <w:szCs w:val="22"/>
    </w:rPr>
  </w:style>
  <w:style w:type="paragraph" w:styleId="920">
    <w:name w:val="Heading 7"/>
    <w:basedOn w:val="913"/>
    <w:next w:val="913"/>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921">
    <w:name w:val="Heading 8"/>
    <w:basedOn w:val="913"/>
    <w:next w:val="913"/>
    <w:link w:val="983"/>
    <w:uiPriority w:val="9"/>
    <w:unhideWhenUsed/>
    <w:qFormat/>
    <w:pPr>
      <w:keepLines/>
      <w:keepNext/>
      <w:spacing w:before="320" w:after="200"/>
      <w:outlineLvl w:val="7"/>
    </w:pPr>
    <w:rPr>
      <w:rFonts w:ascii="Arial" w:hAnsi="Arial" w:eastAsia="Arial" w:cs="Arial"/>
      <w:i/>
      <w:iCs/>
      <w:sz w:val="22"/>
      <w:szCs w:val="22"/>
    </w:rPr>
  </w:style>
  <w:style w:type="paragraph" w:styleId="922">
    <w:name w:val="Heading 9"/>
    <w:basedOn w:val="913"/>
    <w:next w:val="913"/>
    <w:link w:val="984"/>
    <w:uiPriority w:val="9"/>
    <w:unhideWhenUsed/>
    <w:qFormat/>
    <w:pPr>
      <w:keepLines/>
      <w:keepNext/>
      <w:spacing w:before="320" w:after="200"/>
      <w:outlineLvl w:val="8"/>
    </w:pPr>
    <w:rPr>
      <w:rFonts w:ascii="Arial" w:hAnsi="Arial" w:eastAsia="Arial" w:cs="Arial"/>
      <w:i/>
      <w:iCs/>
      <w:szCs w:val="21"/>
    </w:rPr>
  </w:style>
  <w:style w:type="character" w:styleId="923" w:default="1">
    <w:name w:val="Default Paragraph Font"/>
    <w:uiPriority w:val="1"/>
    <w:semiHidden/>
    <w:unhideWhenUsed/>
    <w:qFormat/>
  </w:style>
  <w:style w:type="table" w:styleId="924" w:default="1">
    <w:name w:val="Normal Table"/>
    <w:uiPriority w:val="99"/>
    <w:semiHidden/>
    <w:unhideWhenUsed/>
    <w:qFormat/>
    <w:tblPr>
      <w:tblCellMar>
        <w:left w:w="108" w:type="dxa"/>
        <w:top w:w="0" w:type="dxa"/>
        <w:right w:w="108" w:type="dxa"/>
        <w:bottom w:w="0" w:type="dxa"/>
      </w:tblCellMar>
    </w:tblPr>
  </w:style>
  <w:style w:type="paragraph" w:styleId="925">
    <w:name w:val="Block Text"/>
    <w:basedOn w:val="913"/>
    <w:next w:val="913"/>
    <w:uiPriority w:val="0"/>
    <w:qFormat/>
    <w:pPr>
      <w:ind w:left="256" w:right="6" w:firstLine="624"/>
    </w:pPr>
    <w:rPr>
      <w:rFonts w:eastAsia="仿宋_GB2312"/>
      <w:sz w:val="28"/>
      <w:szCs w:val="20"/>
    </w:rPr>
  </w:style>
  <w:style w:type="paragraph" w:styleId="926">
    <w:name w:val="toc 7"/>
    <w:basedOn w:val="913"/>
    <w:next w:val="913"/>
    <w:uiPriority w:val="39"/>
    <w:unhideWhenUsed/>
    <w:qFormat/>
    <w:pPr>
      <w:ind w:left="1701"/>
      <w:spacing w:after="57"/>
    </w:pPr>
  </w:style>
  <w:style w:type="paragraph" w:styleId="927">
    <w:name w:val="Normal Indent"/>
    <w:basedOn w:val="913"/>
    <w:uiPriority w:val="0"/>
    <w:qFormat/>
    <w:pPr>
      <w:ind w:firstLine="420"/>
    </w:pPr>
  </w:style>
  <w:style w:type="paragraph" w:styleId="928">
    <w:name w:val="Caption"/>
    <w:basedOn w:val="913"/>
    <w:next w:val="9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9">
    <w:name w:val="annotation text"/>
    <w:basedOn w:val="913"/>
    <w:uiPriority w:val="99"/>
    <w:unhideWhenUsed/>
    <w:qFormat/>
    <w:pPr>
      <w:jc w:val="left"/>
    </w:pPr>
  </w:style>
  <w:style w:type="paragraph" w:styleId="930">
    <w:name w:val="Body Text"/>
    <w:basedOn w:val="913"/>
    <w:next w:val="931"/>
    <w:uiPriority w:val="0"/>
    <w:semiHidden/>
    <w:qFormat/>
    <w:rPr>
      <w:rFonts w:ascii="宋体" w:hAnsi="宋体" w:cs="宋体"/>
      <w:sz w:val="24"/>
      <w:lang w:eastAsia="en-US"/>
    </w:rPr>
  </w:style>
  <w:style w:type="paragraph" w:styleId="931">
    <w:name w:val="Body Text 2"/>
    <w:basedOn w:val="913"/>
    <w:next w:val="930"/>
    <w:uiPriority w:val="99"/>
    <w:qFormat/>
    <w:pPr>
      <w:spacing w:after="120" w:line="480" w:lineRule="auto"/>
    </w:pPr>
    <w:rPr>
      <w:sz w:val="20"/>
      <w:szCs w:val="20"/>
    </w:rPr>
  </w:style>
  <w:style w:type="paragraph" w:styleId="932">
    <w:name w:val="Body Text Indent"/>
    <w:basedOn w:val="913"/>
    <w:uiPriority w:val="0"/>
    <w:qFormat/>
    <w:pPr>
      <w:ind w:left="420"/>
      <w:spacing w:after="120"/>
    </w:pPr>
  </w:style>
  <w:style w:type="paragraph" w:styleId="933">
    <w:name w:val="toc 5"/>
    <w:basedOn w:val="913"/>
    <w:next w:val="913"/>
    <w:uiPriority w:val="39"/>
    <w:unhideWhenUsed/>
    <w:qFormat/>
    <w:pPr>
      <w:ind w:left="1134"/>
      <w:spacing w:after="57"/>
    </w:pPr>
  </w:style>
  <w:style w:type="paragraph" w:styleId="934">
    <w:name w:val="toc 3"/>
    <w:basedOn w:val="913"/>
    <w:next w:val="913"/>
    <w:uiPriority w:val="39"/>
    <w:unhideWhenUsed/>
    <w:qFormat/>
    <w:pPr>
      <w:ind w:left="567"/>
      <w:spacing w:after="57"/>
    </w:pPr>
  </w:style>
  <w:style w:type="paragraph" w:styleId="935">
    <w:name w:val="toc 8"/>
    <w:basedOn w:val="913"/>
    <w:next w:val="913"/>
    <w:uiPriority w:val="39"/>
    <w:unhideWhenUsed/>
    <w:qFormat/>
    <w:pPr>
      <w:ind w:left="1984"/>
      <w:spacing w:after="57"/>
    </w:pPr>
  </w:style>
  <w:style w:type="paragraph" w:styleId="936">
    <w:name w:val="endnote text"/>
    <w:basedOn w:val="913"/>
    <w:link w:val="1122"/>
    <w:uiPriority w:val="99"/>
    <w:semiHidden/>
    <w:unhideWhenUsed/>
    <w:qFormat/>
    <w:rPr>
      <w:sz w:val="20"/>
    </w:rPr>
  </w:style>
  <w:style w:type="paragraph" w:styleId="937">
    <w:name w:val="Footer"/>
    <w:basedOn w:val="913"/>
    <w:link w:val="995"/>
    <w:uiPriority w:val="99"/>
    <w:unhideWhenUsed/>
    <w:qFormat/>
    <w:pPr>
      <w:tabs>
        <w:tab w:val="center" w:pos="7143" w:leader="none"/>
        <w:tab w:val="right" w:pos="14287" w:leader="none"/>
      </w:tabs>
    </w:pPr>
  </w:style>
  <w:style w:type="paragraph" w:styleId="938">
    <w:name w:val="Header"/>
    <w:basedOn w:val="913"/>
    <w:link w:val="993"/>
    <w:uiPriority w:val="99"/>
    <w:unhideWhenUsed/>
    <w:qFormat/>
    <w:pPr>
      <w:tabs>
        <w:tab w:val="center" w:pos="7143" w:leader="none"/>
        <w:tab w:val="right" w:pos="14287" w:leader="none"/>
      </w:tabs>
    </w:pPr>
  </w:style>
  <w:style w:type="paragraph" w:styleId="939">
    <w:name w:val="toc 1"/>
    <w:basedOn w:val="913"/>
    <w:next w:val="913"/>
    <w:uiPriority w:val="39"/>
    <w:unhideWhenUsed/>
    <w:qFormat/>
    <w:pPr>
      <w:spacing w:after="57"/>
    </w:pPr>
  </w:style>
  <w:style w:type="paragraph" w:styleId="940">
    <w:name w:val="toc 4"/>
    <w:basedOn w:val="913"/>
    <w:next w:val="913"/>
    <w:uiPriority w:val="39"/>
    <w:unhideWhenUsed/>
    <w:qFormat/>
    <w:pPr>
      <w:ind w:left="850"/>
      <w:spacing w:after="57"/>
    </w:pPr>
  </w:style>
  <w:style w:type="paragraph" w:styleId="941">
    <w:name w:val="Subtitle"/>
    <w:basedOn w:val="913"/>
    <w:next w:val="913"/>
    <w:link w:val="988"/>
    <w:uiPriority w:val="11"/>
    <w:qFormat/>
    <w:pPr>
      <w:spacing w:before="200" w:after="200"/>
    </w:pPr>
    <w:rPr>
      <w:sz w:val="24"/>
    </w:rPr>
  </w:style>
  <w:style w:type="paragraph" w:styleId="942">
    <w:name w:val="footnote text"/>
    <w:basedOn w:val="913"/>
    <w:link w:val="1121"/>
    <w:uiPriority w:val="99"/>
    <w:semiHidden/>
    <w:unhideWhenUsed/>
    <w:qFormat/>
    <w:pPr>
      <w:spacing w:after="40"/>
    </w:pPr>
    <w:rPr>
      <w:sz w:val="18"/>
    </w:rPr>
  </w:style>
  <w:style w:type="paragraph" w:styleId="943">
    <w:name w:val="toc 6"/>
    <w:basedOn w:val="913"/>
    <w:next w:val="913"/>
    <w:uiPriority w:val="39"/>
    <w:unhideWhenUsed/>
    <w:qFormat/>
    <w:pPr>
      <w:ind w:left="1417"/>
      <w:spacing w:after="57"/>
    </w:pPr>
  </w:style>
  <w:style w:type="paragraph" w:styleId="944">
    <w:name w:val="table of figures"/>
    <w:basedOn w:val="913"/>
    <w:next w:val="913"/>
    <w:uiPriority w:val="99"/>
    <w:unhideWhenUsed/>
    <w:qFormat/>
  </w:style>
  <w:style w:type="paragraph" w:styleId="945">
    <w:name w:val="toc 2"/>
    <w:basedOn w:val="913"/>
    <w:next w:val="913"/>
    <w:uiPriority w:val="39"/>
    <w:unhideWhenUsed/>
    <w:qFormat/>
    <w:pPr>
      <w:ind w:left="283"/>
      <w:spacing w:after="57"/>
    </w:pPr>
  </w:style>
  <w:style w:type="paragraph" w:styleId="946">
    <w:name w:val="toc 9"/>
    <w:basedOn w:val="913"/>
    <w:next w:val="913"/>
    <w:uiPriority w:val="39"/>
    <w:unhideWhenUsed/>
    <w:qFormat/>
    <w:pPr>
      <w:ind w:left="2268"/>
      <w:spacing w:after="57"/>
    </w:pPr>
  </w:style>
  <w:style w:type="paragraph" w:styleId="947">
    <w:name w:val="Normal (Web)"/>
    <w:basedOn w:val="913"/>
    <w:uiPriority w:val="0"/>
    <w:qFormat/>
    <w:pPr>
      <w:jc w:val="left"/>
      <w:spacing w:beforeAutospacing="1" w:afterAutospacing="1"/>
    </w:pPr>
    <w:rPr>
      <w:sz w:val="24"/>
    </w:rPr>
  </w:style>
  <w:style w:type="paragraph" w:styleId="948">
    <w:name w:val="Title"/>
    <w:basedOn w:val="913"/>
    <w:next w:val="913"/>
    <w:link w:val="987"/>
    <w:uiPriority w:val="10"/>
    <w:qFormat/>
    <w:pPr>
      <w:contextualSpacing/>
      <w:spacing w:before="300" w:after="200"/>
    </w:pPr>
    <w:rPr>
      <w:sz w:val="48"/>
      <w:szCs w:val="48"/>
    </w:rPr>
  </w:style>
  <w:style w:type="table" w:styleId="9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Strong"/>
    <w:basedOn w:val="923"/>
    <w:uiPriority w:val="22"/>
    <w:qFormat/>
    <w:rPr>
      <w:b/>
    </w:rPr>
  </w:style>
  <w:style w:type="character" w:styleId="951">
    <w:name w:val="endnote reference"/>
    <w:uiPriority w:val="99"/>
    <w:semiHidden/>
    <w:unhideWhenUsed/>
    <w:qFormat/>
    <w:rPr>
      <w:vertAlign w:val="superscript"/>
    </w:rPr>
  </w:style>
  <w:style w:type="character" w:styleId="952">
    <w:name w:val="Hyperlink"/>
    <w:uiPriority w:val="99"/>
    <w:unhideWhenUsed/>
    <w:qFormat/>
    <w:rPr>
      <w:color w:val="0000ff" w:themeColor="hyperlink"/>
      <w:u w:val="single"/>
      <w14:textFill>
        <w14:solidFill>
          <w14:schemeClr w14:val="hlink"/>
        </w14:solidFill>
      </w14:textFill>
    </w:rPr>
  </w:style>
  <w:style w:type="character" w:styleId="953">
    <w:name w:val="footnote reference"/>
    <w:uiPriority w:val="99"/>
    <w:unhideWhenUsed/>
    <w:qFormat/>
    <w:rPr>
      <w:vertAlign w:val="superscript"/>
    </w:rPr>
  </w:style>
  <w:style w:type="paragraph" w:styleId="954" w:customStyle="1">
    <w:name w:val="正文文本11"/>
    <w:basedOn w:val="955"/>
    <w:next w:val="956"/>
    <w:uiPriority w:val="0"/>
    <w:qFormat/>
    <w:pPr>
      <w:spacing w:after="120"/>
    </w:pPr>
    <w:rPr>
      <w:rFonts w:ascii="Calibri" w:hAnsi="Calibri"/>
    </w:rPr>
  </w:style>
  <w:style w:type="paragraph" w:styleId="955" w:customStyle="1">
    <w:name w:val="正文112"/>
    <w:next w:val="954"/>
    <w:uiPriority w:val="0"/>
    <w:qFormat/>
    <w:pPr>
      <w:jc w:val="both"/>
      <w:widowControl w:val="off"/>
    </w:pPr>
    <w:rPr>
      <w:rFonts w:ascii="Times New Roman" w:hAnsi="Times New Roman" w:eastAsia="宋体" w:cs="Times New Roman"/>
      <w:sz w:val="21"/>
      <w:szCs w:val="24"/>
      <w:lang w:val="en-US" w:eastAsia="zh-CN" w:bidi="ar-SA"/>
    </w:rPr>
  </w:style>
  <w:style w:type="paragraph" w:styleId="956" w:customStyle="1">
    <w:name w:val="正文11"/>
    <w:next w:val="957"/>
    <w:uiPriority w:val="0"/>
    <w:qFormat/>
    <w:pPr>
      <w:jc w:val="both"/>
    </w:pPr>
    <w:rPr>
      <w:rFonts w:ascii="Times New Roman" w:hAnsi="Times New Roman" w:eastAsia="宋体" w:cs="Times New Roman"/>
      <w:lang w:val="en-US" w:eastAsia="zh-CN" w:bidi="ar-SA"/>
    </w:rPr>
  </w:style>
  <w:style w:type="paragraph" w:styleId="957" w:customStyle="1">
    <w:name w:val="标题 111"/>
    <w:basedOn w:val="956"/>
    <w:next w:val="956"/>
    <w:uiPriority w:val="0"/>
    <w:qFormat/>
    <w:pPr>
      <w:jc w:val="center"/>
      <w:keepLines/>
      <w:keepNext/>
      <w:spacing w:line="578" w:lineRule="auto"/>
      <w:outlineLvl w:val="0"/>
    </w:pPr>
    <w:rPr>
      <w:rFonts w:eastAsia="新宋体"/>
      <w:b/>
      <w:bCs/>
      <w:sz w:val="30"/>
      <w:szCs w:val="44"/>
    </w:rPr>
  </w:style>
  <w:style w:type="paragraph" w:styleId="958" w:customStyle="1">
    <w:name w:val="文本块1"/>
    <w:basedOn w:val="959"/>
    <w:next w:val="960"/>
    <w:uiPriority w:val="99"/>
    <w:qFormat/>
    <w:pPr>
      <w:ind w:left="1440" w:right="1440"/>
      <w:spacing w:after="120"/>
    </w:pPr>
  </w:style>
  <w:style w:type="paragraph" w:styleId="959" w:customStyle="1">
    <w:name w:val="正文111"/>
    <w:next w:val="913"/>
    <w:uiPriority w:val="0"/>
    <w:qFormat/>
    <w:pPr>
      <w:jc w:val="both"/>
      <w:widowControl w:val="off"/>
    </w:pPr>
    <w:rPr>
      <w:rFonts w:ascii="Calibri" w:hAnsi="Calibri" w:eastAsia="宋体" w:cs="Calibri"/>
      <w:color w:val="000000"/>
      <w:sz w:val="22"/>
      <w:szCs w:val="22"/>
      <w:lang w:val="en-US" w:eastAsia="zh-CN" w:bidi="ar-SA"/>
    </w:rPr>
  </w:style>
  <w:style w:type="paragraph" w:styleId="960" w:customStyle="1">
    <w:name w:val="标题 41"/>
    <w:basedOn w:val="961"/>
    <w:next w:val="956"/>
    <w:uiPriority w:val="9"/>
    <w:qFormat/>
    <w:pPr>
      <w:keepLines/>
      <w:keepNext/>
      <w:spacing w:before="320" w:after="200"/>
      <w:outlineLvl w:val="3"/>
    </w:pPr>
    <w:rPr>
      <w:rFonts w:ascii="Arial" w:hAnsi="Arial" w:eastAsia="Arial" w:cs="Arial"/>
      <w:b/>
      <w:bCs/>
      <w:sz w:val="26"/>
      <w:szCs w:val="26"/>
    </w:rPr>
  </w:style>
  <w:style w:type="paragraph" w:styleId="961" w:customStyle="1">
    <w:name w:val="正文12"/>
    <w:next w:val="962"/>
    <w:uiPriority w:val="0"/>
    <w:qFormat/>
    <w:pPr>
      <w:jc w:val="both"/>
      <w:widowControl w:val="off"/>
    </w:pPr>
    <w:rPr>
      <w:rFonts w:ascii="Times New Roman" w:hAnsi="Times New Roman" w:eastAsia="宋体" w:cs="Times New Roman"/>
      <w:sz w:val="21"/>
      <w:szCs w:val="24"/>
      <w:lang w:val="en-US" w:eastAsia="zh-CN" w:bidi="ar-SA"/>
    </w:rPr>
  </w:style>
  <w:style w:type="paragraph" w:styleId="962" w:customStyle="1">
    <w:name w:val="正文文本1"/>
    <w:basedOn w:val="963"/>
    <w:next w:val="961"/>
    <w:uiPriority w:val="99"/>
    <w:qFormat/>
    <w:pPr>
      <w:spacing w:after="120"/>
    </w:pPr>
    <w:rPr>
      <w:rFonts w:ascii="Calibri"/>
    </w:rPr>
  </w:style>
  <w:style w:type="paragraph" w:styleId="963" w:customStyle="1">
    <w:name w:val="正文1"/>
    <w:basedOn w:val="956"/>
    <w:next w:val="962"/>
    <w:uiPriority w:val="0"/>
    <w:qFormat/>
    <w:pPr>
      <w:jc w:val="left"/>
      <w:spacing w:line="360" w:lineRule="atLeast"/>
    </w:pPr>
    <w:rPr>
      <w:rFonts w:ascii="宋体" w:hAnsi="Calibri"/>
      <w:sz w:val="24"/>
    </w:rPr>
  </w:style>
  <w:style w:type="paragraph" w:styleId="964" w:customStyle="1">
    <w:name w:val="正文文本缩进1"/>
    <w:basedOn w:val="956"/>
    <w:next w:val="965"/>
    <w:uiPriority w:val="0"/>
    <w:qFormat/>
    <w:pPr>
      <w:ind w:left="420"/>
      <w:spacing w:after="120"/>
    </w:pPr>
    <w:rPr>
      <w:rFonts w:ascii="Calibri" w:hAnsi="Calibri"/>
    </w:rPr>
  </w:style>
  <w:style w:type="paragraph" w:styleId="965" w:customStyle="1">
    <w:name w:val="寄信人地址1"/>
    <w:basedOn w:val="963"/>
    <w:uiPriority w:val="0"/>
    <w:qFormat/>
    <w:rPr>
      <w:rFonts w:ascii="Arial" w:hAnsi="Arial"/>
    </w:rPr>
  </w:style>
  <w:style w:type="paragraph" w:styleId="966" w:customStyle="1">
    <w:name w:val="文本块11"/>
    <w:basedOn w:val="961"/>
    <w:uiPriority w:val="0"/>
    <w:qFormat/>
    <w:pPr>
      <w:ind w:left="1440" w:right="1440"/>
      <w:spacing w:after="120"/>
    </w:pPr>
    <w:rPr>
      <w:rFonts w:ascii="Calibri" w:hAnsi="Calibri"/>
    </w:rPr>
  </w:style>
  <w:style w:type="paragraph" w:styleId="967" w:customStyle="1">
    <w:name w:val="目录 11"/>
    <w:basedOn w:val="961"/>
    <w:next w:val="956"/>
    <w:uiPriority w:val="0"/>
    <w:qFormat/>
    <w:pPr>
      <w:spacing w:before="120" w:after="120"/>
      <w:widowControl/>
    </w:pPr>
    <w:rPr>
      <w:rFonts w:ascii="Calibri" w:cs="Calibri"/>
      <w:b/>
      <w:bCs/>
      <w:caps/>
      <w:sz w:val="20"/>
    </w:rPr>
  </w:style>
  <w:style w:type="paragraph" w:styleId="968" w:customStyle="1">
    <w:name w:val="脚注文本1"/>
    <w:basedOn w:val="969"/>
    <w:next w:val="971"/>
    <w:uiPriority w:val="0"/>
    <w:qFormat/>
    <w:pPr>
      <w:jc w:val="left"/>
    </w:pPr>
    <w:rPr>
      <w:rFonts w:ascii="宋体" w:eastAsia="Times New Roman"/>
      <w:sz w:val="18"/>
      <w:szCs w:val="18"/>
    </w:rPr>
  </w:style>
  <w:style w:type="paragraph" w:styleId="969" w:customStyle="1">
    <w:name w:val="正文1111"/>
    <w:next w:val="970"/>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标题 211"/>
    <w:basedOn w:val="956"/>
    <w:next w:val="969"/>
    <w:uiPriority w:val="0"/>
    <w:qFormat/>
    <w:pPr>
      <w:keepLines/>
      <w:keepNext/>
      <w:spacing w:before="260" w:after="260" w:line="416" w:lineRule="auto"/>
      <w:outlineLvl w:val="1"/>
    </w:pPr>
    <w:rPr>
      <w:rFonts w:ascii="Calibri Light" w:hAnsi="Calibri Light"/>
      <w:bCs/>
      <w:sz w:val="32"/>
      <w:szCs w:val="32"/>
    </w:rPr>
  </w:style>
  <w:style w:type="paragraph" w:styleId="971" w:customStyle="1">
    <w:name w:val="索引 51"/>
    <w:basedOn w:val="959"/>
    <w:next w:val="963"/>
    <w:uiPriority w:val="0"/>
    <w:qFormat/>
    <w:pPr>
      <w:ind w:left="798"/>
      <w:jc w:val="left"/>
    </w:pPr>
    <w:rPr>
      <w:rFonts w:cs="Times New Roman"/>
    </w:rPr>
  </w:style>
  <w:style w:type="paragraph" w:styleId="972" w:customStyle="1">
    <w:name w:val="正文121"/>
    <w:next w:val="973"/>
    <w:uiPriority w:val="0"/>
    <w:qFormat/>
    <w:rPr>
      <w:rFonts w:ascii="Times New Roman" w:hAnsi="Times New Roman" w:eastAsia="宋体" w:cs="Times New Roman"/>
      <w:lang w:val="en-US" w:eastAsia="zh-CN" w:bidi="ar-SA"/>
    </w:rPr>
  </w:style>
  <w:style w:type="paragraph" w:styleId="973" w:customStyle="1">
    <w:name w:val="BlockQuote1"/>
    <w:basedOn w:val="972"/>
    <w:uiPriority w:val="0"/>
    <w:qFormat/>
    <w:pPr>
      <w:ind w:left="256" w:right="6" w:firstLine="624"/>
    </w:pPr>
    <w:rPr>
      <w:rFonts w:eastAsia="仿宋_GB2312"/>
      <w:sz w:val="28"/>
    </w:rPr>
  </w:style>
  <w:style w:type="paragraph" w:styleId="974" w:customStyle="1">
    <w:name w:val="正文首行缩进1"/>
    <w:basedOn w:val="954"/>
    <w:uiPriority w:val="0"/>
    <w:qFormat/>
    <w:pPr>
      <w:ind w:firstLine="420"/>
    </w:pPr>
    <w:rPr>
      <w:rFonts w:ascii="仿宋_GB2312" w:eastAsia="仿宋_GB2312"/>
      <w:sz w:val="30"/>
      <w:szCs w:val="30"/>
    </w:rPr>
  </w:style>
  <w:style w:type="paragraph" w:styleId="975" w:customStyle="1">
    <w:name w:val="正文首行缩进 21"/>
    <w:basedOn w:val="964"/>
    <w:uiPriority w:val="0"/>
    <w:qFormat/>
    <w:pPr>
      <w:ind w:firstLine="420"/>
      <w:spacing w:line="360" w:lineRule="auto"/>
    </w:pPr>
    <w:rPr>
      <w:color w:val="000000"/>
    </w:rPr>
  </w:style>
  <w:style w:type="character" w:styleId="976" w:customStyle="1">
    <w:name w:val="标题 1 字符"/>
    <w:link w:val="914"/>
    <w:uiPriority w:val="9"/>
    <w:qFormat/>
    <w:rPr>
      <w:rFonts w:ascii="Arial" w:hAnsi="Arial" w:eastAsia="Arial" w:cs="Arial"/>
      <w:sz w:val="40"/>
      <w:szCs w:val="40"/>
    </w:rPr>
  </w:style>
  <w:style w:type="character" w:styleId="977" w:customStyle="1">
    <w:name w:val="标题 2 字符"/>
    <w:link w:val="915"/>
    <w:uiPriority w:val="9"/>
    <w:qFormat/>
    <w:rPr>
      <w:rFonts w:ascii="Arial" w:hAnsi="Arial" w:eastAsia="Arial" w:cs="Arial"/>
      <w:sz w:val="34"/>
    </w:rPr>
  </w:style>
  <w:style w:type="character" w:styleId="978" w:customStyle="1">
    <w:name w:val="标题 3 字符"/>
    <w:link w:val="916"/>
    <w:uiPriority w:val="9"/>
    <w:qFormat/>
    <w:rPr>
      <w:rFonts w:ascii="Arial" w:hAnsi="Arial" w:eastAsia="Arial" w:cs="Arial"/>
      <w:sz w:val="30"/>
      <w:szCs w:val="30"/>
    </w:rPr>
  </w:style>
  <w:style w:type="character" w:styleId="979" w:customStyle="1">
    <w:name w:val="标题 4 字符"/>
    <w:link w:val="917"/>
    <w:uiPriority w:val="9"/>
    <w:qFormat/>
    <w:rPr>
      <w:rFonts w:ascii="Arial" w:hAnsi="Arial" w:eastAsia="Arial" w:cs="Arial"/>
      <w:b/>
      <w:bCs/>
      <w:sz w:val="26"/>
      <w:szCs w:val="26"/>
    </w:rPr>
  </w:style>
  <w:style w:type="character" w:styleId="980" w:customStyle="1">
    <w:name w:val="标题 5 字符"/>
    <w:link w:val="918"/>
    <w:uiPriority w:val="9"/>
    <w:qFormat/>
    <w:rPr>
      <w:rFonts w:ascii="Arial" w:hAnsi="Arial" w:eastAsia="Arial" w:cs="Arial"/>
      <w:b/>
      <w:bCs/>
      <w:sz w:val="24"/>
      <w:szCs w:val="24"/>
    </w:rPr>
  </w:style>
  <w:style w:type="character" w:styleId="981" w:customStyle="1">
    <w:name w:val="标题 6 字符"/>
    <w:link w:val="919"/>
    <w:uiPriority w:val="9"/>
    <w:qFormat/>
    <w:rPr>
      <w:rFonts w:ascii="Arial" w:hAnsi="Arial" w:eastAsia="Arial" w:cs="Arial"/>
      <w:b/>
      <w:bCs/>
      <w:sz w:val="22"/>
      <w:szCs w:val="22"/>
    </w:rPr>
  </w:style>
  <w:style w:type="character" w:styleId="982" w:customStyle="1">
    <w:name w:val="标题 7 字符"/>
    <w:link w:val="920"/>
    <w:uiPriority w:val="9"/>
    <w:qFormat/>
    <w:rPr>
      <w:rFonts w:ascii="Arial" w:hAnsi="Arial" w:eastAsia="Arial" w:cs="Arial"/>
      <w:b/>
      <w:bCs/>
      <w:i/>
      <w:iCs/>
      <w:sz w:val="22"/>
      <w:szCs w:val="22"/>
    </w:rPr>
  </w:style>
  <w:style w:type="character" w:styleId="983" w:customStyle="1">
    <w:name w:val="标题 8 字符"/>
    <w:link w:val="921"/>
    <w:uiPriority w:val="9"/>
    <w:qFormat/>
    <w:rPr>
      <w:rFonts w:ascii="Arial" w:hAnsi="Arial" w:eastAsia="Arial" w:cs="Arial"/>
      <w:i/>
      <w:iCs/>
      <w:sz w:val="22"/>
      <w:szCs w:val="22"/>
    </w:rPr>
  </w:style>
  <w:style w:type="character" w:styleId="984" w:customStyle="1">
    <w:name w:val="标题 9 字符"/>
    <w:link w:val="922"/>
    <w:uiPriority w:val="9"/>
    <w:qFormat/>
    <w:rPr>
      <w:rFonts w:ascii="Arial" w:hAnsi="Arial" w:eastAsia="Arial" w:cs="Arial"/>
      <w:i/>
      <w:iCs/>
      <w:sz w:val="21"/>
      <w:szCs w:val="21"/>
    </w:rPr>
  </w:style>
  <w:style w:type="paragraph" w:styleId="985">
    <w:name w:val="List Paragraph"/>
    <w:basedOn w:val="913"/>
    <w:uiPriority w:val="34"/>
    <w:qFormat/>
    <w:pPr>
      <w:contextualSpacing/>
      <w:ind w:left="720"/>
    </w:pPr>
  </w:style>
  <w:style w:type="paragraph" w:styleId="986">
    <w:name w:val="No Spacing"/>
    <w:uiPriority w:val="1"/>
    <w:qFormat/>
    <w:rPr>
      <w:rFonts w:ascii="Calibri" w:hAnsi="Calibri" w:eastAsia="宋体" w:cs="Times New Roman"/>
      <w:lang w:val="en-US" w:eastAsia="zh-CN" w:bidi="ar-SA"/>
    </w:rPr>
  </w:style>
  <w:style w:type="character" w:styleId="987" w:customStyle="1">
    <w:name w:val="标题 字符"/>
    <w:link w:val="948"/>
    <w:uiPriority w:val="10"/>
    <w:qFormat/>
    <w:rPr>
      <w:sz w:val="48"/>
      <w:szCs w:val="48"/>
    </w:rPr>
  </w:style>
  <w:style w:type="character" w:styleId="988" w:customStyle="1">
    <w:name w:val="副标题 字符"/>
    <w:link w:val="941"/>
    <w:uiPriority w:val="11"/>
    <w:qFormat/>
    <w:rPr>
      <w:sz w:val="24"/>
      <w:szCs w:val="24"/>
    </w:rPr>
  </w:style>
  <w:style w:type="paragraph" w:styleId="989">
    <w:name w:val="Quote"/>
    <w:basedOn w:val="913"/>
    <w:next w:val="913"/>
    <w:link w:val="990"/>
    <w:uiPriority w:val="29"/>
    <w:qFormat/>
    <w:pPr>
      <w:ind w:left="720" w:right="720"/>
    </w:pPr>
    <w:rPr>
      <w:i/>
    </w:rPr>
  </w:style>
  <w:style w:type="character" w:styleId="990" w:customStyle="1">
    <w:name w:val="引用 字符"/>
    <w:link w:val="989"/>
    <w:uiPriority w:val="29"/>
    <w:qFormat/>
    <w:rPr>
      <w:i/>
    </w:rPr>
  </w:style>
  <w:style w:type="paragraph" w:styleId="991">
    <w:name w:val="Intense Quote"/>
    <w:basedOn w:val="913"/>
    <w:next w:val="913"/>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明显引用 字符"/>
    <w:link w:val="991"/>
    <w:uiPriority w:val="30"/>
    <w:qFormat/>
    <w:rPr>
      <w:i/>
    </w:rPr>
  </w:style>
  <w:style w:type="character" w:styleId="993" w:customStyle="1">
    <w:name w:val="页眉 字符"/>
    <w:link w:val="938"/>
    <w:uiPriority w:val="99"/>
    <w:qFormat/>
  </w:style>
  <w:style w:type="character" w:styleId="994" w:customStyle="1">
    <w:name w:val="Footer Char"/>
    <w:uiPriority w:val="99"/>
    <w:qFormat/>
  </w:style>
  <w:style w:type="character" w:styleId="995" w:customStyle="1">
    <w:name w:val="页脚 字符"/>
    <w:link w:val="937"/>
    <w:uiPriority w:val="99"/>
    <w:qFormat/>
  </w:style>
  <w:style w:type="table" w:styleId="9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1" w:customStyle="1">
    <w:name w:val="脚注文本 字符"/>
    <w:link w:val="942"/>
    <w:uiPriority w:val="99"/>
    <w:qFormat/>
    <w:rPr>
      <w:sz w:val="18"/>
    </w:rPr>
  </w:style>
  <w:style w:type="character" w:styleId="1122" w:customStyle="1">
    <w:name w:val="尾注文本 字符"/>
    <w:link w:val="936"/>
    <w:uiPriority w:val="99"/>
    <w:qFormat/>
    <w:rPr>
      <w:sz w:val="20"/>
    </w:rPr>
  </w:style>
  <w:style w:type="paragraph" w:styleId="1123" w:customStyle="1">
    <w:name w:val="TOC 标题1"/>
    <w:uiPriority w:val="39"/>
    <w:unhideWhenUsed/>
    <w:qFormat/>
    <w:rPr>
      <w:rFonts w:ascii="Calibri" w:hAnsi="Calibri" w:eastAsia="宋体" w:cs="Times New Roman"/>
      <w:lang w:val="en-US" w:eastAsia="zh-CN" w:bidi="ar-SA"/>
    </w:rPr>
  </w:style>
  <w:style w:type="character" w:styleId="1124" w:customStyle="1">
    <w:name w:val="默认段落字体11"/>
    <w:uiPriority w:val="0"/>
    <w:semiHidden/>
    <w:qFormat/>
  </w:style>
  <w:style w:type="table" w:styleId="1125" w:customStyle="1">
    <w:name w:val="普通表格11"/>
    <w:uiPriority w:val="0"/>
    <w:semiHidden/>
    <w:qFormat/>
    <w:tblPr>
      <w:tblCellMar>
        <w:left w:w="0" w:type="dxa"/>
        <w:top w:w="0" w:type="dxa"/>
        <w:right w:w="0" w:type="dxa"/>
        <w:bottom w:w="0" w:type="dxa"/>
      </w:tblCellMar>
    </w:tblPr>
  </w:style>
  <w:style w:type="paragraph" w:styleId="1126" w:customStyle="1">
    <w:name w:val="文本块12"/>
    <w:basedOn w:val="913"/>
    <w:next w:val="913"/>
    <w:uiPriority w:val="99"/>
    <w:qFormat/>
    <w:pPr>
      <w:ind w:left="1440" w:right="700"/>
      <w:spacing w:after="120"/>
    </w:pPr>
    <w:rPr>
      <w:rFonts w:eastAsia="仿宋_GB2312" w:cs="Arial"/>
      <w:sz w:val="28"/>
      <w:szCs w:val="20"/>
    </w:rPr>
  </w:style>
  <w:style w:type="paragraph" w:styleId="1127" w:customStyle="1">
    <w:name w:val="页脚11"/>
    <w:basedOn w:val="913"/>
    <w:uiPriority w:val="99"/>
    <w:qFormat/>
    <w:pPr>
      <w:tabs>
        <w:tab w:val="center" w:pos="7143" w:leader="none"/>
        <w:tab w:val="right" w:pos="14287" w:leader="none"/>
      </w:tabs>
    </w:pPr>
  </w:style>
  <w:style w:type="paragraph" w:styleId="1128" w:customStyle="1">
    <w:name w:val="正文文本 21"/>
    <w:uiPriority w:val="0"/>
    <w:qFormat/>
    <w:pPr>
      <w:jc w:val="both"/>
      <w:spacing w:after="120" w:line="480" w:lineRule="auto"/>
      <w:widowControl w:val="off"/>
    </w:pPr>
    <w:rPr>
      <w:rFonts w:ascii="Times New Roman" w:hAnsi="Times New Roman" w:eastAsia="宋体" w:cs="Times New Roman"/>
      <w:sz w:val="28"/>
      <w:szCs w:val="21"/>
      <w:lang w:val="en-US" w:eastAsia="zh-CN" w:bidi="ar-SA"/>
    </w:rPr>
  </w:style>
  <w:style w:type="paragraph" w:styleId="1129" w:customStyle="1">
    <w:name w:val="普通(网站)1"/>
    <w:basedOn w:val="913"/>
    <w:uiPriority w:val="7"/>
    <w:qFormat/>
    <w:pPr>
      <w:spacing w:before="100" w:beforeAutospacing="1" w:after="100" w:afterAutospacing="1"/>
    </w:pPr>
    <w:rPr>
      <w:rFonts w:ascii="宋体" w:hAnsi="宋体" w:cs="宋体"/>
    </w:rPr>
  </w:style>
  <w:style w:type="table" w:styleId="1130" w:customStyle="1">
    <w:name w:val="网格型11"/>
    <w:uiPriority w:val="59"/>
    <w:qFormat/>
    <w:tblPr>
      <w:tblCellMar>
        <w:left w:w="0" w:type="dxa"/>
        <w:top w:w="0" w:type="dxa"/>
        <w:right w:w="0" w:type="dxa"/>
        <w:bottom w:w="0" w:type="dxa"/>
      </w:tblCellMar>
    </w:tblPr>
  </w:style>
  <w:style w:type="paragraph" w:styleId="1131" w:customStyle="1">
    <w:name w:val="正文缩进1"/>
    <w:basedOn w:val="913"/>
    <w:uiPriority w:val="0"/>
    <w:qFormat/>
    <w:pPr>
      <w:ind w:firstLine="420"/>
    </w:pPr>
  </w:style>
  <w:style w:type="character" w:styleId="1132" w:customStyle="1">
    <w:name w:val="超链接1"/>
    <w:basedOn w:val="1133"/>
    <w:uiPriority w:val="99"/>
    <w:qFormat/>
    <w:rPr>
      <w:color w:val="0000ff"/>
      <w:u w:val="single"/>
    </w:rPr>
  </w:style>
  <w:style w:type="character" w:styleId="1133" w:customStyle="1">
    <w:name w:val="默认段落字体1"/>
    <w:uiPriority w:val="1"/>
    <w:qFormat/>
  </w:style>
  <w:style w:type="table" w:styleId="1134" w:customStyle="1">
    <w:name w:val="网格型1"/>
    <w:basedOn w:val="1135"/>
    <w:uiPriority w:val="39"/>
    <w:qFormat/>
    <w:tblPr>
      <w:tblCellMar>
        <w:left w:w="0" w:type="dxa"/>
        <w:top w:w="0" w:type="dxa"/>
        <w:right w:w="0" w:type="dxa"/>
        <w:bottom w:w="0" w:type="dxa"/>
      </w:tblCellMar>
    </w:tblPr>
  </w:style>
  <w:style w:type="table" w:styleId="1135" w:customStyle="1">
    <w:name w:val="普通表格1"/>
    <w:uiPriority w:val="99"/>
    <w:qFormat/>
    <w:tblPr>
      <w:tblCellMar>
        <w:left w:w="0" w:type="dxa"/>
        <w:top w:w="0" w:type="dxa"/>
        <w:right w:w="0" w:type="dxa"/>
        <w:bottom w:w="0" w:type="dxa"/>
      </w:tblCellMar>
    </w:tblPr>
  </w:style>
  <w:style w:type="paragraph" w:styleId="1136" w:customStyle="1">
    <w:name w:val="目录 111"/>
    <w:basedOn w:val="961"/>
    <w:next w:val="959"/>
    <w:uiPriority w:val="39"/>
    <w:qFormat/>
  </w:style>
  <w:style w:type="character" w:styleId="1137" w:customStyle="1">
    <w:name w:val="font11"/>
    <w:uiPriority w:val="0"/>
    <w:qFormat/>
    <w:rPr>
      <w:rFonts w:hint="eastAsia" w:ascii="仿宋_GB2312" w:hAnsi="Times New Roman" w:eastAsia="仿宋_GB2312" w:cs="仿宋_GB2312"/>
      <w:color w:val="000000"/>
      <w:sz w:val="21"/>
      <w:szCs w:val="21"/>
      <w:u w:val="none"/>
    </w:rPr>
  </w:style>
  <w:style w:type="paragraph" w:styleId="1138" w:customStyle="1">
    <w:name w:val="yf00正文"/>
    <w:uiPriority w:val="0"/>
    <w:qFormat/>
    <w:pPr>
      <w:ind w:firstLine="600"/>
      <w:jc w:val="both"/>
      <w:widowControl w:val="off"/>
    </w:pPr>
    <w:rPr>
      <w:rFonts w:ascii="Times New Roman" w:hAnsi="Times New Roman" w:eastAsia="宋体" w:cs="Times New Roman"/>
      <w:sz w:val="28"/>
      <w:szCs w:val="30"/>
      <w:lang w:val="en-US" w:eastAsia="zh-CN" w:bidi="ar-SA"/>
    </w:rPr>
  </w:style>
  <w:style w:type="paragraph" w:styleId="1139" w:customStyle="1">
    <w:name w:val="Other|1"/>
    <w:uiPriority w:val="0"/>
    <w:qFormat/>
    <w:pPr>
      <w:jc w:val="both"/>
      <w:spacing w:line="286" w:lineRule="auto"/>
      <w:widowControl w:val="off"/>
    </w:pPr>
    <w:rPr>
      <w:rFonts w:ascii="宋体" w:hAnsi="宋体" w:eastAsia="宋体" w:cs="宋体"/>
      <w:sz w:val="26"/>
      <w:szCs w:val="26"/>
      <w:lang w:val="zh-TW" w:eastAsia="zh-TW" w:bidi="zh-TW"/>
    </w:rPr>
  </w:style>
  <w:style w:type="paragraph" w:styleId="1140" w:customStyle="1">
    <w:name w:val="正文文本缩进11"/>
    <w:basedOn w:val="913"/>
    <w:uiPriority w:val="0"/>
    <w:qFormat/>
    <w:pPr>
      <w:ind w:left="420"/>
      <w:spacing w:after="120"/>
    </w:pPr>
    <w:rPr>
      <w:rFonts w:ascii="Calibri" w:hAnsi="Calibri"/>
    </w:rPr>
  </w:style>
  <w:style w:type="paragraph" w:styleId="1141" w:customStyle="1">
    <w:name w:val="页眉1"/>
    <w:basedOn w:val="913"/>
    <w:uiPriority w:val="99"/>
    <w:qFormat/>
    <w:pPr>
      <w:jc w:val="center"/>
      <w:tabs>
        <w:tab w:val="center" w:pos="4153" w:leader="none"/>
        <w:tab w:val="right" w:pos="8306" w:leader="none"/>
      </w:tabs>
      <w:pBdr>
        <w:bottom w:val="single" w:color="000000" w:sz="6" w:space="1"/>
      </w:pBdr>
    </w:pPr>
    <w:rPr>
      <w:sz w:val="18"/>
      <w:szCs w:val="18"/>
    </w:rPr>
  </w:style>
  <w:style w:type="paragraph" w:styleId="1142" w:customStyle="1">
    <w:name w:val="页脚1"/>
    <w:basedOn w:val="913"/>
    <w:uiPriority w:val="99"/>
    <w:qFormat/>
    <w:pPr>
      <w:jc w:val="left"/>
      <w:tabs>
        <w:tab w:val="center" w:pos="4153" w:leader="none"/>
        <w:tab w:val="right" w:pos="8306" w:leader="none"/>
      </w:tabs>
    </w:pPr>
    <w:rPr>
      <w:sz w:val="18"/>
      <w:szCs w:val="18"/>
    </w:rPr>
  </w:style>
  <w:style w:type="paragraph" w:styleId="1143" w:customStyle="1">
    <w:name w:val="一级条标题"/>
    <w:basedOn w:val="1144"/>
    <w:next w:val="1145"/>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144" w:customStyle="1">
    <w:name w:val="章标题"/>
    <w:next w:val="91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45" w:customStyle="1">
    <w:name w:val="段"/>
    <w:basedOn w:val="963"/>
    <w:next w:val="913"/>
    <w:uiPriority w:val="0"/>
    <w:qFormat/>
    <w:pPr>
      <w:ind w:firstLine="200"/>
    </w:pPr>
    <w:rPr>
      <w:rFonts w:hAnsi="Times New Roman"/>
      <w:sz w:val="20"/>
    </w:rPr>
  </w:style>
  <w:style w:type="paragraph" w:styleId="1146" w:customStyle="1">
    <w:name w:val="Table Text"/>
    <w:basedOn w:val="913"/>
    <w:uiPriority w:val="0"/>
    <w:semiHidden/>
    <w:qFormat/>
    <w:rPr>
      <w:rFonts w:ascii="宋体" w:hAnsi="宋体" w:cs="宋体"/>
      <w:sz w:val="25"/>
      <w:szCs w:val="25"/>
      <w:lang w:eastAsia="en-US"/>
    </w:rPr>
  </w:style>
  <w:style w:type="table" w:styleId="1147" w:customStyle="1">
    <w:name w:val="Table Normal"/>
    <w:uiPriority w:val="0"/>
    <w:semiHidden/>
    <w:unhideWhenUsed/>
    <w:qFormat/>
    <w:tblPr>
      <w:tblCellMar>
        <w:left w:w="0" w:type="dxa"/>
        <w:top w:w="0" w:type="dxa"/>
        <w:right w:w="0" w:type="dxa"/>
        <w:bottom w:w="0" w:type="dxa"/>
      </w:tblCellMar>
    </w:tblPr>
  </w:style>
  <w:style w:type="paragraph" w:styleId="1148" w:customStyle="1">
    <w:name w:val="列表段落1"/>
    <w:basedOn w:val="963"/>
    <w:next w:val="913"/>
    <w:uiPriority w:val="34"/>
    <w:qFormat/>
    <w:pPr>
      <w:contextualSpacing/>
      <w:ind w:left="720"/>
    </w:pPr>
  </w:style>
  <w:style w:type="paragraph" w:styleId="1149" w:customStyle="1">
    <w:name w:val="标题 11"/>
    <w:basedOn w:val="963"/>
    <w:next w:val="956"/>
    <w:uiPriority w:val="0"/>
    <w:qFormat/>
    <w:pPr>
      <w:jc w:val="center"/>
      <w:keepLines/>
      <w:keepNext/>
      <w:spacing w:line="578" w:lineRule="auto"/>
      <w:outlineLvl w:val="0"/>
    </w:pPr>
    <w:rPr>
      <w:rFonts w:eastAsia="新宋体"/>
      <w:b/>
      <w:bCs/>
      <w:sz w:val="30"/>
      <w:szCs w:val="44"/>
    </w:rPr>
  </w:style>
  <w:style w:type="character" w:styleId="1150" w:customStyle="1">
    <w:name w:val="NormalCharacter"/>
    <w:uiPriority w:val="0"/>
    <w:semiHidden/>
    <w:qFormat/>
  </w:style>
  <w:style w:type="paragraph" w:styleId="1151" w:customStyle="1">
    <w:name w:val="纯文本1"/>
    <w:basedOn w:val="913"/>
    <w:uiPriority w:val="0"/>
    <w:qFormat/>
    <w:rPr>
      <w:rFonts w:ascii="宋体" w:hAnsi="Courier New"/>
      <w:szCs w:val="21"/>
    </w:rPr>
  </w:style>
  <w:style w:type="paragraph" w:styleId="1152"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153" w:customStyle="1">
    <w:name w:val="列出段落1"/>
    <w:basedOn w:val="913"/>
    <w:uiPriority w:val="0"/>
    <w:qFormat/>
    <w:pPr>
      <w:ind w:firstLine="420"/>
    </w:pPr>
    <w:rPr>
      <w:szCs w:val="20"/>
    </w:rPr>
  </w:style>
  <w:style w:type="paragraph" w:styleId="1154" w:customStyle="1">
    <w:name w:val="Footer1"/>
    <w:basedOn w:val="913"/>
    <w:uiPriority w:val="99"/>
    <w:qFormat/>
    <w:pPr>
      <w:jc w:val="left"/>
      <w:tabs>
        <w:tab w:val="center" w:pos="4153" w:leader="none"/>
        <w:tab w:val="right" w:pos="8306" w:leader="none"/>
      </w:tabs>
    </w:pPr>
    <w:rPr>
      <w:sz w:val="18"/>
      <w:szCs w:val="18"/>
    </w:rPr>
  </w:style>
  <w:style w:type="paragraph" w:styleId="1155" w:customStyle="1">
    <w:name w:val="null3"/>
    <w:basedOn w:val="913"/>
    <w:uiPriority w:val="0"/>
    <w:qFormat/>
    <w:pPr>
      <w:jc w:val="left"/>
      <w:widowControl/>
    </w:pPr>
    <w:rPr>
      <w:sz w:val="24"/>
    </w:rPr>
  </w:style>
  <w:style w:type="character" w:styleId="1156" w:customStyle="1">
    <w:name w:val="font41"/>
    <w:basedOn w:val="923"/>
    <w:uiPriority w:val="0"/>
    <w:qFormat/>
    <w:rPr>
      <w:rFonts w:hint="eastAsia" w:ascii="宋体" w:hAnsi="宋体" w:eastAsia="宋体" w:cs="宋体"/>
      <w:color w:val="000000"/>
      <w:sz w:val="18"/>
      <w:szCs w:val="18"/>
      <w:u w:val="none"/>
    </w:rPr>
  </w:style>
  <w:style w:type="paragraph" w:styleId="1157" w:customStyle="1">
    <w:name w:val="Block Text1"/>
    <w:basedOn w:val="913"/>
    <w:next w:val="917"/>
    <w:uiPriority w:val="0"/>
    <w:qFormat/>
    <w:pPr>
      <w:ind w:left="256" w:right="6" w:firstLine="624"/>
    </w:pPr>
    <w:rPr>
      <w:rFonts w:eastAsia="仿宋"/>
      <w:sz w:val="28"/>
    </w:r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江苏天同工程咨询</cp:lastModifiedBy>
  <cp:revision>12</cp:revision>
  <dcterms:created xsi:type="dcterms:W3CDTF">2025-12-26T06:46:00Z</dcterms:created>
  <dcterms:modified xsi:type="dcterms:W3CDTF">2026-05-13T07:50:50Z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131DBBB380FF40C0AF4C8554F12BD01F_13</vt:lpwstr>
  </property>
  <property fmtid="{D5CDD505-2E9C-101B-9397-08002B2CF9AE}" pid="4" name="KSOTemplateDocerSaveRecord">
    <vt:lpwstr>eyJoZGlkIjoiOTNjY2VmNTVjODI5ZjhjYTkzMzc3NTJkNjM1MDlkNGEiLCJ1c2VySWQiOiI2MTQ5OTU1MzQifQ==</vt:lpwstr>
  </property>
</Properties>
</file>